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AC" w:rsidRDefault="00AA0579" w:rsidP="00A825AC">
      <w:pPr>
        <w:spacing w:after="0" w:line="240" w:lineRule="auto"/>
        <w:contextualSpacing/>
        <w:jc w:val="center"/>
      </w:pPr>
      <w:r w:rsidRPr="00311BA1">
        <w:rPr>
          <w:noProof/>
        </w:rPr>
        <w:drawing>
          <wp:inline distT="0" distB="0" distL="0" distR="0">
            <wp:extent cx="2485390" cy="610870"/>
            <wp:effectExtent l="0" t="0" r="0" b="0"/>
            <wp:docPr id="1" name="Picture 1" descr="NW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ADA Cen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6002" t="31041" r="65224" b="52499"/>
                    <a:stretch>
                      <a:fillRect/>
                    </a:stretch>
                  </pic:blipFill>
                  <pic:spPr bwMode="auto">
                    <a:xfrm>
                      <a:off x="0" y="0"/>
                      <a:ext cx="2485390" cy="610870"/>
                    </a:xfrm>
                    <a:prstGeom prst="rect">
                      <a:avLst/>
                    </a:prstGeom>
                    <a:noFill/>
                    <a:ln>
                      <a:noFill/>
                    </a:ln>
                  </pic:spPr>
                </pic:pic>
              </a:graphicData>
            </a:graphic>
          </wp:inline>
        </w:drawing>
      </w:r>
    </w:p>
    <w:p w:rsidR="00A825AC" w:rsidRPr="004F520D" w:rsidRDefault="00A825AC" w:rsidP="00F63457">
      <w:pPr>
        <w:spacing w:after="0" w:line="240" w:lineRule="auto"/>
        <w:ind w:firstLine="2707"/>
        <w:contextualSpacing/>
        <w:rPr>
          <w:noProof/>
          <w:sz w:val="4"/>
          <w:szCs w:val="4"/>
        </w:rPr>
      </w:pPr>
    </w:p>
    <w:p w:rsidR="00D861DA" w:rsidRPr="00A453BE" w:rsidRDefault="00EA7130" w:rsidP="00AE7FE6">
      <w:pPr>
        <w:shd w:val="clear" w:color="auto" w:fill="800000"/>
        <w:spacing w:after="0" w:line="240" w:lineRule="auto"/>
        <w:ind w:left="-270" w:right="-288"/>
        <w:jc w:val="center"/>
        <w:rPr>
          <w:b/>
          <w:smallCaps/>
          <w:noProof/>
          <w:color w:val="FFFFFF"/>
          <w:sz w:val="36"/>
          <w:szCs w:val="36"/>
        </w:rPr>
      </w:pPr>
      <w:r w:rsidRPr="00A453BE">
        <w:rPr>
          <w:b/>
          <w:smallCaps/>
          <w:noProof/>
          <w:color w:val="FFFFFF"/>
          <w:sz w:val="36"/>
          <w:szCs w:val="36"/>
        </w:rPr>
        <w:t>Accessibility for People with Disabilit</w:t>
      </w:r>
      <w:r w:rsidR="00D02F3F" w:rsidRPr="00A453BE">
        <w:rPr>
          <w:b/>
          <w:smallCaps/>
          <w:noProof/>
          <w:color w:val="FFFFFF"/>
          <w:sz w:val="36"/>
          <w:szCs w:val="36"/>
        </w:rPr>
        <w:t xml:space="preserve">ies </w:t>
      </w:r>
      <w:r w:rsidR="00FD532B" w:rsidRPr="00A453BE">
        <w:rPr>
          <w:b/>
          <w:smallCaps/>
          <w:noProof/>
          <w:color w:val="FFFFFF"/>
          <w:sz w:val="36"/>
          <w:szCs w:val="36"/>
        </w:rPr>
        <w:t>at</w:t>
      </w:r>
    </w:p>
    <w:p w:rsidR="00FD532B" w:rsidRPr="00A453BE" w:rsidRDefault="00FD532B" w:rsidP="00AE7FE6">
      <w:pPr>
        <w:shd w:val="clear" w:color="auto" w:fill="800000"/>
        <w:spacing w:after="0" w:line="240" w:lineRule="auto"/>
        <w:ind w:left="-270" w:right="-288"/>
        <w:jc w:val="center"/>
        <w:rPr>
          <w:b/>
          <w:smallCaps/>
          <w:noProof/>
          <w:color w:val="FFFFFF"/>
          <w:sz w:val="36"/>
          <w:szCs w:val="36"/>
        </w:rPr>
      </w:pPr>
      <w:r w:rsidRPr="00A453BE">
        <w:rPr>
          <w:b/>
          <w:smallCaps/>
          <w:noProof/>
          <w:color w:val="FFFFFF"/>
          <w:sz w:val="36"/>
          <w:szCs w:val="36"/>
        </w:rPr>
        <w:t>Hotels and Places of Lodging</w:t>
      </w:r>
    </w:p>
    <w:p w:rsidR="00EA7130" w:rsidRPr="00777912" w:rsidRDefault="00EA7130" w:rsidP="00EA7130">
      <w:pPr>
        <w:pStyle w:val="NoSpacing"/>
        <w:rPr>
          <w:b/>
          <w:color w:val="800000"/>
        </w:rPr>
      </w:pPr>
    </w:p>
    <w:p w:rsidR="00FD18B2" w:rsidRDefault="00F42B4E" w:rsidP="003B2E3C">
      <w:pPr>
        <w:pStyle w:val="NoSpacing"/>
        <w:rPr>
          <w:color w:val="000000"/>
        </w:rPr>
      </w:pPr>
      <w:r>
        <w:rPr>
          <w:color w:val="000000"/>
        </w:rPr>
        <w:t xml:space="preserve">The Americans with Disabilities Act (ADA) established </w:t>
      </w:r>
      <w:r w:rsidR="00887603">
        <w:rPr>
          <w:color w:val="000000"/>
        </w:rPr>
        <w:t xml:space="preserve">requirements </w:t>
      </w:r>
      <w:r w:rsidR="00590BAF" w:rsidRPr="00F91FB8">
        <w:rPr>
          <w:color w:val="000000"/>
        </w:rPr>
        <w:t xml:space="preserve">for transient places of lodging, </w:t>
      </w:r>
      <w:r w:rsidR="00FD18B2">
        <w:rPr>
          <w:color w:val="000000"/>
        </w:rPr>
        <w:t xml:space="preserve">like </w:t>
      </w:r>
      <w:r w:rsidR="00590BAF" w:rsidRPr="00F91FB8">
        <w:rPr>
          <w:color w:val="000000"/>
        </w:rPr>
        <w:t>hotels, motels</w:t>
      </w:r>
      <w:r w:rsidR="00410F8F" w:rsidRPr="00F91FB8">
        <w:rPr>
          <w:color w:val="000000"/>
        </w:rPr>
        <w:t xml:space="preserve">, </w:t>
      </w:r>
      <w:r w:rsidR="00FD18B2">
        <w:rPr>
          <w:color w:val="000000"/>
        </w:rPr>
        <w:t xml:space="preserve">inns, </w:t>
      </w:r>
      <w:r w:rsidR="00410F8F" w:rsidRPr="00F91FB8">
        <w:rPr>
          <w:color w:val="000000"/>
        </w:rPr>
        <w:t xml:space="preserve">and other facilities that offer sleeping rooms for short-term stays (generally 30 days or less) and meet certain conditions. </w:t>
      </w:r>
      <w:r>
        <w:rPr>
          <w:color w:val="000000"/>
        </w:rPr>
        <w:t xml:space="preserve">For the purposes of this fact sheet, </w:t>
      </w:r>
      <w:r w:rsidR="00FD18B2">
        <w:rPr>
          <w:color w:val="000000"/>
        </w:rPr>
        <w:t xml:space="preserve">all such facilities </w:t>
      </w:r>
      <w:r>
        <w:rPr>
          <w:color w:val="000000"/>
        </w:rPr>
        <w:t xml:space="preserve">will be referred </w:t>
      </w:r>
      <w:r w:rsidR="00FD18B2">
        <w:rPr>
          <w:color w:val="000000"/>
        </w:rPr>
        <w:t>to as hotels.</w:t>
      </w:r>
    </w:p>
    <w:p w:rsidR="00FD18B2" w:rsidRPr="00076663" w:rsidRDefault="00FD18B2" w:rsidP="003B2E3C">
      <w:pPr>
        <w:pStyle w:val="NoSpacing"/>
        <w:rPr>
          <w:color w:val="000000"/>
          <w:sz w:val="20"/>
          <w:szCs w:val="20"/>
        </w:rPr>
      </w:pPr>
    </w:p>
    <w:p w:rsidR="00377D21" w:rsidRPr="00F91FB8" w:rsidRDefault="00410F8F" w:rsidP="003B2E3C">
      <w:pPr>
        <w:pStyle w:val="NoSpacing"/>
        <w:rPr>
          <w:color w:val="000000"/>
        </w:rPr>
      </w:pPr>
      <w:r w:rsidRPr="00F91FB8">
        <w:rPr>
          <w:color w:val="000000"/>
        </w:rPr>
        <w:t xml:space="preserve">This fact sheet is </w:t>
      </w:r>
      <w:r w:rsidR="00554AC6" w:rsidRPr="00F91FB8">
        <w:rPr>
          <w:color w:val="000000"/>
        </w:rPr>
        <w:t xml:space="preserve">not applicable to </w:t>
      </w:r>
      <w:r w:rsidR="00782766" w:rsidRPr="00F91FB8">
        <w:rPr>
          <w:color w:val="000000"/>
        </w:rPr>
        <w:t xml:space="preserve">residential, judicial, </w:t>
      </w:r>
      <w:r w:rsidRPr="00F91FB8">
        <w:rPr>
          <w:color w:val="000000"/>
        </w:rPr>
        <w:t xml:space="preserve">or </w:t>
      </w:r>
      <w:r w:rsidR="00782766" w:rsidRPr="00F91FB8">
        <w:rPr>
          <w:color w:val="000000"/>
        </w:rPr>
        <w:t>correctional facilities</w:t>
      </w:r>
      <w:r w:rsidRPr="00F91FB8">
        <w:rPr>
          <w:color w:val="000000"/>
        </w:rPr>
        <w:t>, or any facility that contains five or less rooms for rent where the proprietor actually resides</w:t>
      </w:r>
      <w:r w:rsidR="00590BAF" w:rsidRPr="00F91FB8">
        <w:rPr>
          <w:color w:val="000000"/>
        </w:rPr>
        <w:t>. T</w:t>
      </w:r>
      <w:r w:rsidR="003B2E3C" w:rsidRPr="00F91FB8">
        <w:rPr>
          <w:color w:val="000000"/>
        </w:rPr>
        <w:t>ime shares, dormitories</w:t>
      </w:r>
      <w:bookmarkStart w:id="0" w:name="_GoBack"/>
      <w:bookmarkEnd w:id="0"/>
      <w:r w:rsidR="003B2E3C" w:rsidRPr="00F91FB8">
        <w:rPr>
          <w:color w:val="000000"/>
        </w:rPr>
        <w:t xml:space="preserve">, and town homes </w:t>
      </w:r>
      <w:r w:rsidR="00590BAF" w:rsidRPr="00F91FB8">
        <w:rPr>
          <w:color w:val="000000"/>
        </w:rPr>
        <w:t xml:space="preserve">may be </w:t>
      </w:r>
      <w:r w:rsidR="00554AC6" w:rsidRPr="00F91FB8">
        <w:rPr>
          <w:color w:val="000000"/>
        </w:rPr>
        <w:t xml:space="preserve">subject to </w:t>
      </w:r>
      <w:r w:rsidR="00887603">
        <w:rPr>
          <w:color w:val="000000"/>
        </w:rPr>
        <w:t xml:space="preserve">the requirements </w:t>
      </w:r>
      <w:r w:rsidR="00554AC6" w:rsidRPr="00F91FB8">
        <w:rPr>
          <w:color w:val="000000"/>
        </w:rPr>
        <w:t xml:space="preserve">presented in this fact sheet </w:t>
      </w:r>
      <w:r w:rsidR="00590BAF" w:rsidRPr="00F91FB8">
        <w:rPr>
          <w:color w:val="000000"/>
        </w:rPr>
        <w:t>as well as the Fair Housing Amendments</w:t>
      </w:r>
      <w:r w:rsidR="00782766" w:rsidRPr="00F91FB8">
        <w:rPr>
          <w:color w:val="000000"/>
        </w:rPr>
        <w:t xml:space="preserve"> Act</w:t>
      </w:r>
      <w:r w:rsidR="00887603">
        <w:rPr>
          <w:color w:val="000000"/>
        </w:rPr>
        <w:t xml:space="preserve"> requirements</w:t>
      </w:r>
      <w:r w:rsidR="00554AC6" w:rsidRPr="00F91FB8">
        <w:rPr>
          <w:color w:val="000000"/>
        </w:rPr>
        <w:t xml:space="preserve">, which are described </w:t>
      </w:r>
      <w:r w:rsidR="00B30974" w:rsidRPr="00F91FB8">
        <w:rPr>
          <w:color w:val="000000"/>
        </w:rPr>
        <w:t xml:space="preserve">on </w:t>
      </w:r>
      <w:r w:rsidR="00554AC6" w:rsidRPr="00F91FB8">
        <w:rPr>
          <w:color w:val="000000"/>
        </w:rPr>
        <w:t xml:space="preserve">the </w:t>
      </w:r>
      <w:hyperlink r:id="rId8" w:history="1">
        <w:r w:rsidR="00B30974" w:rsidRPr="00F91FB8">
          <w:rPr>
            <w:rStyle w:val="Hyperlink"/>
          </w:rPr>
          <w:t>US Department of Hous</w:t>
        </w:r>
        <w:r w:rsidR="00B30974" w:rsidRPr="00F91FB8">
          <w:rPr>
            <w:rStyle w:val="Hyperlink"/>
          </w:rPr>
          <w:t>ing and Urban Development website</w:t>
        </w:r>
      </w:hyperlink>
      <w:r w:rsidR="00782766" w:rsidRPr="00F91FB8">
        <w:rPr>
          <w:color w:val="000000"/>
        </w:rPr>
        <w:t>.</w:t>
      </w:r>
    </w:p>
    <w:p w:rsidR="00377D21" w:rsidRPr="00076663" w:rsidRDefault="00377D21" w:rsidP="003B2E3C">
      <w:pPr>
        <w:pStyle w:val="NoSpacing"/>
        <w:rPr>
          <w:color w:val="000000"/>
          <w:sz w:val="20"/>
          <w:szCs w:val="20"/>
          <w:highlight w:val="yellow"/>
        </w:rPr>
      </w:pPr>
    </w:p>
    <w:p w:rsidR="00377D21" w:rsidRPr="001B04FC" w:rsidRDefault="00377D21" w:rsidP="003B2E3C">
      <w:pPr>
        <w:pStyle w:val="NoSpacing"/>
        <w:rPr>
          <w:color w:val="000000"/>
        </w:rPr>
      </w:pPr>
      <w:r w:rsidRPr="00F91FB8">
        <w:rPr>
          <w:color w:val="000000"/>
        </w:rPr>
        <w:t xml:space="preserve">The </w:t>
      </w:r>
      <w:r w:rsidR="00D36BF5" w:rsidRPr="00F91FB8">
        <w:rPr>
          <w:color w:val="000000"/>
        </w:rPr>
        <w:t xml:space="preserve">following </w:t>
      </w:r>
      <w:r w:rsidRPr="00F91FB8">
        <w:rPr>
          <w:color w:val="000000"/>
        </w:rPr>
        <w:t>l</w:t>
      </w:r>
      <w:r w:rsidR="00D36BF5" w:rsidRPr="00F91FB8">
        <w:rPr>
          <w:color w:val="000000"/>
        </w:rPr>
        <w:t>ist</w:t>
      </w:r>
      <w:r w:rsidRPr="00F91FB8">
        <w:rPr>
          <w:color w:val="000000"/>
        </w:rPr>
        <w:t xml:space="preserve"> </w:t>
      </w:r>
      <w:r w:rsidR="00D36BF5" w:rsidRPr="00F91FB8">
        <w:rPr>
          <w:color w:val="000000"/>
        </w:rPr>
        <w:t xml:space="preserve">of </w:t>
      </w:r>
      <w:r w:rsidRPr="00F91FB8">
        <w:rPr>
          <w:color w:val="000000"/>
        </w:rPr>
        <w:t xml:space="preserve">ADA requirements for </w:t>
      </w:r>
      <w:r w:rsidR="00FD18B2">
        <w:rPr>
          <w:color w:val="000000"/>
        </w:rPr>
        <w:t xml:space="preserve">hotels </w:t>
      </w:r>
      <w:r w:rsidR="00D36BF5" w:rsidRPr="00F91FB8">
        <w:rPr>
          <w:color w:val="000000"/>
        </w:rPr>
        <w:t>combines ele</w:t>
      </w:r>
      <w:r w:rsidR="00887603">
        <w:rPr>
          <w:color w:val="000000"/>
        </w:rPr>
        <w:t xml:space="preserve">ments of the 1991 ADA standards, </w:t>
      </w:r>
      <w:r w:rsidR="00D36BF5" w:rsidRPr="00F91FB8">
        <w:rPr>
          <w:color w:val="000000"/>
        </w:rPr>
        <w:t xml:space="preserve">the 2010 </w:t>
      </w:r>
      <w:r w:rsidR="00887603">
        <w:rPr>
          <w:color w:val="000000"/>
        </w:rPr>
        <w:t xml:space="preserve">ADA </w:t>
      </w:r>
      <w:r w:rsidR="00034CB1">
        <w:rPr>
          <w:color w:val="000000"/>
        </w:rPr>
        <w:t xml:space="preserve">Standards for Accessible Design, </w:t>
      </w:r>
      <w:r w:rsidR="00887603">
        <w:rPr>
          <w:color w:val="000000"/>
        </w:rPr>
        <w:t>and the ADA 2010 Revised Requirements: Accessible Pools- Accessible Means of Entry and Exit (which took effect on January 31, 2013).</w:t>
      </w:r>
      <w:r w:rsidR="00034CB1">
        <w:rPr>
          <w:color w:val="000000"/>
        </w:rPr>
        <w:t>*</w:t>
      </w:r>
    </w:p>
    <w:p w:rsidR="00573F50" w:rsidRPr="00777912" w:rsidRDefault="00573F50" w:rsidP="00BF4E34">
      <w:pPr>
        <w:pStyle w:val="NoSpacing"/>
      </w:pPr>
    </w:p>
    <w:p w:rsidR="00FE1006" w:rsidRPr="00D15294" w:rsidRDefault="00FE1006" w:rsidP="00FE1006">
      <w:pPr>
        <w:pStyle w:val="Heading1"/>
        <w:spacing w:before="0" w:line="240" w:lineRule="auto"/>
        <w:rPr>
          <w:rFonts w:ascii="Calibri" w:hAnsi="Calibri"/>
          <w:color w:val="820000"/>
          <w:sz w:val="22"/>
          <w:szCs w:val="22"/>
        </w:rPr>
      </w:pPr>
      <w:r w:rsidRPr="00D15294">
        <w:rPr>
          <w:rFonts w:ascii="Calibri" w:hAnsi="Calibri"/>
          <w:color w:val="820000"/>
          <w:sz w:val="22"/>
          <w:szCs w:val="22"/>
        </w:rPr>
        <w:t>Reservations</w:t>
      </w:r>
    </w:p>
    <w:p w:rsidR="00FE1006" w:rsidRDefault="00FD18B2" w:rsidP="00FE1006">
      <w:pPr>
        <w:pStyle w:val="NoSpacing"/>
        <w:numPr>
          <w:ilvl w:val="0"/>
          <w:numId w:val="32"/>
        </w:numPr>
        <w:ind w:left="540"/>
      </w:pPr>
      <w:r>
        <w:t xml:space="preserve">Hotels </w:t>
      </w:r>
      <w:r w:rsidR="00FE1006">
        <w:t xml:space="preserve">are required to have </w:t>
      </w:r>
      <w:r w:rsidR="00F42B4E">
        <w:t xml:space="preserve">accessible </w:t>
      </w:r>
      <w:r w:rsidR="00FE1006">
        <w:t xml:space="preserve">guest rooms </w:t>
      </w:r>
      <w:r w:rsidR="00F42B4E">
        <w:t xml:space="preserve">(i.e. rooms with </w:t>
      </w:r>
      <w:r w:rsidR="00076663">
        <w:t xml:space="preserve">mobility features for people with physical disabilities </w:t>
      </w:r>
      <w:r w:rsidR="00F42B4E">
        <w:t xml:space="preserve">and communication features for people who have a hearing disability). The </w:t>
      </w:r>
      <w:r>
        <w:t xml:space="preserve">minimum </w:t>
      </w:r>
      <w:r w:rsidR="00F42B4E">
        <w:t xml:space="preserve">number of accessible guest rooms that </w:t>
      </w:r>
      <w:r>
        <w:t xml:space="preserve">a hotel </w:t>
      </w:r>
      <w:r w:rsidR="00F42B4E">
        <w:t xml:space="preserve">must have is </w:t>
      </w:r>
      <w:r w:rsidR="00FE1006">
        <w:t>based on the total number of guest rooms</w:t>
      </w:r>
      <w:r>
        <w:t xml:space="preserve"> that </w:t>
      </w:r>
      <w:r w:rsidR="00C84EDB">
        <w:t xml:space="preserve">the </w:t>
      </w:r>
      <w:r>
        <w:t>hotel provides</w:t>
      </w:r>
      <w:r w:rsidR="00FE1006">
        <w:t xml:space="preserve">. </w:t>
      </w:r>
      <w:r w:rsidR="00144759">
        <w:t>(</w:t>
      </w:r>
      <w:r w:rsidR="00FE1006" w:rsidRPr="00144759">
        <w:t>See tables below.</w:t>
      </w:r>
      <w:r w:rsidR="00144759">
        <w:t>)</w:t>
      </w:r>
    </w:p>
    <w:p w:rsidR="00FE1006" w:rsidRPr="002470D8" w:rsidRDefault="00FD18B2" w:rsidP="00FD18B2">
      <w:pPr>
        <w:pStyle w:val="NoSpacing"/>
        <w:numPr>
          <w:ilvl w:val="0"/>
          <w:numId w:val="32"/>
        </w:numPr>
        <w:ind w:left="540"/>
      </w:pPr>
      <w:r w:rsidRPr="00F91FB8">
        <w:t>Guests with disabilities must be provided a range of options equivalent to the op</w:t>
      </w:r>
      <w:r>
        <w:t xml:space="preserve">tions available to other guests, so accessible guest rooms must be dispersed </w:t>
      </w:r>
      <w:r w:rsidR="00FE1006" w:rsidRPr="00F91FB8">
        <w:t>among the different classes of guest</w:t>
      </w:r>
      <w:r w:rsidR="00D64B3C">
        <w:t xml:space="preserve"> rooms available in the hotel</w:t>
      </w:r>
      <w:r w:rsidR="00FE1006" w:rsidRPr="00F91FB8">
        <w:t>, including bed size, non-smoking, smoking, views, costs, etc.</w:t>
      </w:r>
      <w:r>
        <w:t xml:space="preserve"> </w:t>
      </w:r>
    </w:p>
    <w:p w:rsidR="00FE1006" w:rsidRPr="001B04FC" w:rsidRDefault="00FE1006" w:rsidP="00FE1006">
      <w:pPr>
        <w:pStyle w:val="NoSpacing"/>
        <w:numPr>
          <w:ilvl w:val="0"/>
          <w:numId w:val="32"/>
        </w:numPr>
        <w:ind w:left="540"/>
      </w:pPr>
      <w:r w:rsidRPr="001B04FC">
        <w:t>Persons with disabilities must be able to reserve accessible guest rooms during the same hours and in th</w:t>
      </w:r>
      <w:r>
        <w:t>e same method as other guests</w:t>
      </w:r>
      <w:r w:rsidR="00FD18B2">
        <w:t>.</w:t>
      </w:r>
    </w:p>
    <w:p w:rsidR="00FE1006" w:rsidRPr="001B04FC" w:rsidRDefault="00FD18B2" w:rsidP="00FE1006">
      <w:pPr>
        <w:pStyle w:val="NoSpacing"/>
        <w:numPr>
          <w:ilvl w:val="0"/>
          <w:numId w:val="32"/>
        </w:numPr>
        <w:ind w:left="540"/>
      </w:pPr>
      <w:r>
        <w:t xml:space="preserve">Hotels </w:t>
      </w:r>
      <w:r w:rsidR="00FE1006" w:rsidRPr="001B04FC">
        <w:t>must identify and describe accessible features of the hotel and guest rooms in enough detail that a person with a disability can independently assess whether the facility will meet their</w:t>
      </w:r>
      <w:r w:rsidR="00FE1006">
        <w:t xml:space="preserve"> needs</w:t>
      </w:r>
      <w:r>
        <w:t>.</w:t>
      </w:r>
    </w:p>
    <w:p w:rsidR="00FE1006" w:rsidRPr="001B04FC" w:rsidRDefault="00FE1006" w:rsidP="00FE1006">
      <w:pPr>
        <w:pStyle w:val="NoSpacing"/>
        <w:numPr>
          <w:ilvl w:val="0"/>
          <w:numId w:val="32"/>
        </w:numPr>
        <w:ind w:left="540"/>
      </w:pPr>
      <w:r w:rsidRPr="001B04FC">
        <w:t>Accessible guest rooms must be held back until all other rooms of that type have been reserved.</w:t>
      </w:r>
    </w:p>
    <w:p w:rsidR="00FE1006" w:rsidRPr="001B04FC" w:rsidRDefault="00FE1006" w:rsidP="00FE1006">
      <w:pPr>
        <w:pStyle w:val="NoSpacing"/>
        <w:numPr>
          <w:ilvl w:val="0"/>
          <w:numId w:val="32"/>
        </w:numPr>
        <w:ind w:left="540"/>
        <w:rPr>
          <w:rFonts w:eastAsia="Times New Roman"/>
        </w:rPr>
      </w:pPr>
      <w:r w:rsidRPr="001B04FC">
        <w:t xml:space="preserve">Reserved accessible rooms must be removed from the reservation system to </w:t>
      </w:r>
      <w:r w:rsidRPr="001B04FC">
        <w:rPr>
          <w:rFonts w:eastAsia="Times New Roman"/>
        </w:rPr>
        <w:t>eliminate double booking.</w:t>
      </w:r>
    </w:p>
    <w:p w:rsidR="00FE1006" w:rsidRDefault="00FE1006" w:rsidP="00FE1006">
      <w:pPr>
        <w:pStyle w:val="NoSpacing"/>
        <w:numPr>
          <w:ilvl w:val="0"/>
          <w:numId w:val="32"/>
        </w:numPr>
        <w:ind w:left="540"/>
      </w:pPr>
      <w:r w:rsidRPr="001B04FC">
        <w:t>Specific rooms reserved by individuals with disabilities must be guaranteed and held, regardless of wh</w:t>
      </w:r>
      <w:r>
        <w:t>ether rooms are held for others</w:t>
      </w:r>
      <w:r w:rsidR="00FD18B2">
        <w:t>.</w:t>
      </w:r>
    </w:p>
    <w:p w:rsidR="00FE1006" w:rsidRPr="00F3493F" w:rsidRDefault="00FE1006" w:rsidP="00FE1006">
      <w:pPr>
        <w:pStyle w:val="NoSpacing"/>
        <w:numPr>
          <w:ilvl w:val="0"/>
          <w:numId w:val="32"/>
        </w:numPr>
        <w:ind w:left="540"/>
      </w:pPr>
      <w:r w:rsidRPr="00F3493F">
        <w:t>Customer service staff must be trained to respond to specific inquiries about the features of the facility including accessible routes to/through the facility, details about the configuration of the accessible guest rooms and bathrooms, accessibility of common spaces, and availability of adapted equipment or features, such as bath benches,</w:t>
      </w:r>
      <w:r>
        <w:t xml:space="preserve"> visual alarm</w:t>
      </w:r>
      <w:r w:rsidR="00FD18B2">
        <w:t>s,</w:t>
      </w:r>
      <w:r>
        <w:t xml:space="preserve"> and alert devices</w:t>
      </w:r>
    </w:p>
    <w:p w:rsidR="00FE1006" w:rsidRPr="00777912" w:rsidRDefault="00FE1006" w:rsidP="00BF4E34">
      <w:pPr>
        <w:pStyle w:val="NoSpacing"/>
      </w:pPr>
    </w:p>
    <w:p w:rsidR="003B3CC2" w:rsidRPr="00D15294" w:rsidRDefault="00A40A8E" w:rsidP="00AE5E3F">
      <w:pPr>
        <w:pStyle w:val="Heading1"/>
        <w:spacing w:before="0" w:line="240" w:lineRule="auto"/>
        <w:rPr>
          <w:rFonts w:ascii="Calibri" w:hAnsi="Calibri"/>
          <w:color w:val="820000"/>
          <w:sz w:val="22"/>
          <w:szCs w:val="22"/>
        </w:rPr>
      </w:pPr>
      <w:r>
        <w:rPr>
          <w:rFonts w:ascii="Calibri" w:hAnsi="Calibri"/>
          <w:color w:val="820000"/>
          <w:sz w:val="22"/>
          <w:szCs w:val="22"/>
        </w:rPr>
        <w:t>Accessible g</w:t>
      </w:r>
      <w:r w:rsidR="009D4591" w:rsidRPr="00D15294">
        <w:rPr>
          <w:rFonts w:ascii="Calibri" w:hAnsi="Calibri"/>
          <w:color w:val="820000"/>
          <w:sz w:val="22"/>
          <w:szCs w:val="22"/>
        </w:rPr>
        <w:t>uest rooms and restrooms</w:t>
      </w:r>
    </w:p>
    <w:p w:rsidR="002470D8" w:rsidRDefault="002470D8" w:rsidP="00AE5E3F">
      <w:pPr>
        <w:pStyle w:val="NoSpacing"/>
        <w:numPr>
          <w:ilvl w:val="0"/>
          <w:numId w:val="32"/>
        </w:numPr>
        <w:ind w:left="540"/>
        <w:rPr>
          <w:rFonts w:cs="Calibri"/>
        </w:rPr>
      </w:pPr>
      <w:r>
        <w:rPr>
          <w:rFonts w:cs="Calibri"/>
        </w:rPr>
        <w:t>The following tables specify the number of required accessible rooms and features based on the total number of guest rooms:</w:t>
      </w:r>
    </w:p>
    <w:p w:rsidR="00FE1006" w:rsidRPr="00076663" w:rsidRDefault="00FE1006" w:rsidP="00FE1006">
      <w:pPr>
        <w:pStyle w:val="NoSpacing"/>
        <w:ind w:left="540"/>
        <w:rPr>
          <w:rFonts w:cs="Calibri"/>
          <w:sz w:val="10"/>
          <w:szCs w:val="1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00"/>
        <w:gridCol w:w="2610"/>
        <w:gridCol w:w="2610"/>
      </w:tblGrid>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b/>
              </w:rPr>
            </w:pPr>
            <w:r w:rsidRPr="00D15294">
              <w:rPr>
                <w:rFonts w:cs="Calibri"/>
                <w:b/>
              </w:rPr>
              <w:t>Total number of guest rooms provided</w:t>
            </w:r>
          </w:p>
        </w:tc>
        <w:tc>
          <w:tcPr>
            <w:tcW w:w="2700" w:type="dxa"/>
            <w:shd w:val="clear" w:color="auto" w:fill="auto"/>
            <w:vAlign w:val="center"/>
          </w:tcPr>
          <w:p w:rsidR="002470D8" w:rsidRPr="00D15294" w:rsidRDefault="002470D8" w:rsidP="00CD52B9">
            <w:pPr>
              <w:pStyle w:val="NoSpacing"/>
              <w:jc w:val="center"/>
              <w:rPr>
                <w:rFonts w:cs="Calibri"/>
                <w:b/>
              </w:rPr>
            </w:pPr>
            <w:r w:rsidRPr="00D15294">
              <w:rPr>
                <w:rFonts w:cs="Calibri"/>
                <w:b/>
              </w:rPr>
              <w:t>Minimum number of required rooms without roll-in showers</w:t>
            </w:r>
          </w:p>
        </w:tc>
        <w:tc>
          <w:tcPr>
            <w:tcW w:w="2610" w:type="dxa"/>
            <w:shd w:val="clear" w:color="auto" w:fill="auto"/>
            <w:vAlign w:val="center"/>
          </w:tcPr>
          <w:p w:rsidR="002470D8" w:rsidRPr="00D15294" w:rsidRDefault="002470D8" w:rsidP="00CD52B9">
            <w:pPr>
              <w:pStyle w:val="NoSpacing"/>
              <w:jc w:val="center"/>
              <w:rPr>
                <w:rFonts w:cs="Calibri"/>
                <w:b/>
              </w:rPr>
            </w:pPr>
            <w:r w:rsidRPr="00D15294">
              <w:rPr>
                <w:rFonts w:cs="Calibri"/>
                <w:b/>
              </w:rPr>
              <w:t>Minimum number of required rooms with roll-in showers</w:t>
            </w:r>
          </w:p>
        </w:tc>
        <w:tc>
          <w:tcPr>
            <w:tcW w:w="2610" w:type="dxa"/>
            <w:shd w:val="clear" w:color="auto" w:fill="auto"/>
            <w:vAlign w:val="center"/>
          </w:tcPr>
          <w:p w:rsidR="002470D8" w:rsidRPr="00D15294" w:rsidRDefault="002470D8" w:rsidP="00CD52B9">
            <w:pPr>
              <w:pStyle w:val="NoSpacing"/>
              <w:jc w:val="center"/>
              <w:rPr>
                <w:rFonts w:cs="Calibri"/>
                <w:b/>
              </w:rPr>
            </w:pPr>
            <w:r w:rsidRPr="00D15294">
              <w:rPr>
                <w:rFonts w:cs="Calibri"/>
                <w:b/>
              </w:rPr>
              <w:t>Total number of</w:t>
            </w:r>
          </w:p>
          <w:p w:rsidR="002470D8" w:rsidRPr="00D15294" w:rsidRDefault="002470D8" w:rsidP="00CD52B9">
            <w:pPr>
              <w:pStyle w:val="NoSpacing"/>
              <w:jc w:val="center"/>
              <w:rPr>
                <w:rFonts w:cs="Calibri"/>
                <w:b/>
              </w:rPr>
            </w:pPr>
            <w:r w:rsidRPr="00D15294">
              <w:rPr>
                <w:rFonts w:cs="Calibri"/>
                <w:b/>
              </w:rPr>
              <w:t>required rooms</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1 to 25</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1</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0</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26 to 50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2</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0</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2</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51 to 75</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3</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4</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76 to 100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4</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5</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lastRenderedPageBreak/>
              <w:t>101 to 150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5</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2</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7</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151 to 200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6</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2</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8</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201 to 300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7</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3</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10</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301 to 400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8</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4</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12</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401 to 500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9</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4</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13</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501 to 1000</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2 percent of total</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 percent of total</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3 percent of total</w:t>
            </w:r>
          </w:p>
        </w:tc>
      </w:tr>
      <w:tr w:rsidR="002470D8" w:rsidRPr="00D15294" w:rsidTr="00CD52B9">
        <w:tc>
          <w:tcPr>
            <w:tcW w:w="1620" w:type="dxa"/>
            <w:shd w:val="clear" w:color="auto" w:fill="auto"/>
            <w:vAlign w:val="center"/>
          </w:tcPr>
          <w:p w:rsidR="002470D8" w:rsidRPr="00D15294" w:rsidRDefault="002470D8" w:rsidP="00CD52B9">
            <w:pPr>
              <w:pStyle w:val="NoSpacing"/>
              <w:jc w:val="center"/>
              <w:rPr>
                <w:rFonts w:cs="Calibri"/>
              </w:rPr>
            </w:pPr>
            <w:r w:rsidRPr="00D15294">
              <w:rPr>
                <w:rFonts w:cs="Calibri"/>
              </w:rPr>
              <w:t>1001 and over</w:t>
            </w:r>
          </w:p>
        </w:tc>
        <w:tc>
          <w:tcPr>
            <w:tcW w:w="2700" w:type="dxa"/>
            <w:shd w:val="clear" w:color="auto" w:fill="auto"/>
            <w:vAlign w:val="center"/>
          </w:tcPr>
          <w:p w:rsidR="002470D8" w:rsidRPr="00D15294" w:rsidRDefault="002470D8" w:rsidP="00CD52B9">
            <w:pPr>
              <w:pStyle w:val="NoSpacing"/>
              <w:jc w:val="center"/>
              <w:rPr>
                <w:rFonts w:cs="Calibri"/>
              </w:rPr>
            </w:pPr>
            <w:r w:rsidRPr="00D15294">
              <w:rPr>
                <w:rFonts w:cs="Calibri"/>
              </w:rPr>
              <w:t>20, plus 1 for each 100, or fraction thereof, over 1000</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10, plus 1 for each 100, or fraction thereof over 1000</w:t>
            </w:r>
          </w:p>
        </w:tc>
        <w:tc>
          <w:tcPr>
            <w:tcW w:w="2610" w:type="dxa"/>
            <w:shd w:val="clear" w:color="auto" w:fill="auto"/>
            <w:vAlign w:val="center"/>
          </w:tcPr>
          <w:p w:rsidR="002470D8" w:rsidRPr="00D15294" w:rsidRDefault="002470D8" w:rsidP="00CD52B9">
            <w:pPr>
              <w:pStyle w:val="NoSpacing"/>
              <w:jc w:val="center"/>
              <w:rPr>
                <w:rFonts w:cs="Calibri"/>
              </w:rPr>
            </w:pPr>
            <w:r w:rsidRPr="00D15294">
              <w:rPr>
                <w:rFonts w:cs="Calibri"/>
              </w:rPr>
              <w:t>30, plus 2 for each 100, or faction thereof, over 1000</w:t>
            </w:r>
          </w:p>
        </w:tc>
      </w:tr>
    </w:tbl>
    <w:p w:rsidR="002470D8" w:rsidRPr="00777912" w:rsidRDefault="002470D8" w:rsidP="002470D8">
      <w:pPr>
        <w:pStyle w:val="NoSpacing"/>
        <w:ind w:left="54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tblGrid>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b/>
              </w:rPr>
            </w:pPr>
            <w:r w:rsidRPr="00D15294">
              <w:rPr>
                <w:rFonts w:cs="Calibri"/>
                <w:b/>
              </w:rPr>
              <w:t>Total number of guest rooms provided</w:t>
            </w:r>
          </w:p>
        </w:tc>
        <w:tc>
          <w:tcPr>
            <w:tcW w:w="3600" w:type="dxa"/>
            <w:shd w:val="clear" w:color="auto" w:fill="auto"/>
            <w:vAlign w:val="center"/>
          </w:tcPr>
          <w:p w:rsidR="002470D8" w:rsidRPr="00D15294" w:rsidRDefault="002470D8" w:rsidP="00881F69">
            <w:pPr>
              <w:pStyle w:val="NoSpacing"/>
              <w:jc w:val="center"/>
              <w:rPr>
                <w:rFonts w:cs="Calibri"/>
                <w:b/>
              </w:rPr>
            </w:pPr>
            <w:r w:rsidRPr="00D15294">
              <w:rPr>
                <w:rFonts w:cs="Calibri"/>
                <w:b/>
              </w:rPr>
              <w:t xml:space="preserve">Minimum number of required guest rooms with communication features </w:t>
            </w:r>
            <w:r w:rsidR="00881F69">
              <w:rPr>
                <w:rFonts w:cs="Calibri"/>
                <w:b/>
              </w:rPr>
              <w:t>for people with a hearing disability</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2 to 25</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2</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26 to 50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4</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51 to 75</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7</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76 to 100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9</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101 to 150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12</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151 to 200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14</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201 to 300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17</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301 to 400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20</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401 to 500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22</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501 to 1000</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5 percent of total</w:t>
            </w:r>
          </w:p>
        </w:tc>
      </w:tr>
      <w:tr w:rsidR="002470D8" w:rsidRPr="00D15294" w:rsidTr="00AE5E3F">
        <w:trPr>
          <w:jc w:val="center"/>
        </w:trPr>
        <w:tc>
          <w:tcPr>
            <w:tcW w:w="2250" w:type="dxa"/>
            <w:shd w:val="clear" w:color="auto" w:fill="auto"/>
            <w:vAlign w:val="center"/>
          </w:tcPr>
          <w:p w:rsidR="002470D8" w:rsidRPr="00D15294" w:rsidRDefault="002470D8" w:rsidP="00CD52B9">
            <w:pPr>
              <w:pStyle w:val="NoSpacing"/>
              <w:jc w:val="center"/>
              <w:rPr>
                <w:rFonts w:cs="Calibri"/>
              </w:rPr>
            </w:pPr>
            <w:r w:rsidRPr="00D15294">
              <w:rPr>
                <w:rFonts w:cs="Calibri"/>
              </w:rPr>
              <w:t>1001 and over</w:t>
            </w:r>
          </w:p>
        </w:tc>
        <w:tc>
          <w:tcPr>
            <w:tcW w:w="3600" w:type="dxa"/>
            <w:shd w:val="clear" w:color="auto" w:fill="auto"/>
            <w:vAlign w:val="center"/>
          </w:tcPr>
          <w:p w:rsidR="002470D8" w:rsidRPr="00D15294" w:rsidRDefault="002470D8" w:rsidP="00CD52B9">
            <w:pPr>
              <w:pStyle w:val="NoSpacing"/>
              <w:jc w:val="center"/>
              <w:rPr>
                <w:rFonts w:cs="Calibri"/>
              </w:rPr>
            </w:pPr>
            <w:r w:rsidRPr="00D15294">
              <w:rPr>
                <w:rFonts w:cs="Calibri"/>
              </w:rPr>
              <w:t>50, plus 3 for each 100 over 1000</w:t>
            </w:r>
          </w:p>
        </w:tc>
      </w:tr>
    </w:tbl>
    <w:p w:rsidR="00FE1006" w:rsidRPr="00777912" w:rsidRDefault="00FE1006" w:rsidP="00FE1006">
      <w:pPr>
        <w:pStyle w:val="NoSpacing"/>
        <w:ind w:left="540"/>
      </w:pPr>
    </w:p>
    <w:p w:rsidR="003B3CC2" w:rsidRPr="00F3493F" w:rsidRDefault="003B3CC2" w:rsidP="00E513EF">
      <w:pPr>
        <w:pStyle w:val="NoSpacing"/>
        <w:numPr>
          <w:ilvl w:val="0"/>
          <w:numId w:val="32"/>
        </w:numPr>
        <w:ind w:left="540"/>
      </w:pPr>
      <w:r w:rsidRPr="00F3493F">
        <w:t>Recommended bed height is 20-23 inches from floor to top of mattress</w:t>
      </w:r>
    </w:p>
    <w:p w:rsidR="009F7DB8" w:rsidRDefault="009F7DB8" w:rsidP="009F7DB8">
      <w:pPr>
        <w:pStyle w:val="NoSpacing"/>
        <w:numPr>
          <w:ilvl w:val="0"/>
          <w:numId w:val="32"/>
        </w:numPr>
        <w:ind w:left="540"/>
      </w:pPr>
      <w:r w:rsidRPr="00F3493F">
        <w:t>Height of toilet seat from floor must be 17-19 inches</w:t>
      </w:r>
    </w:p>
    <w:p w:rsidR="009F7DB8" w:rsidRDefault="009F7DB8" w:rsidP="009F7DB8">
      <w:pPr>
        <w:pStyle w:val="NoSpacing"/>
        <w:numPr>
          <w:ilvl w:val="0"/>
          <w:numId w:val="32"/>
        </w:numPr>
        <w:ind w:left="540"/>
      </w:pPr>
      <w:r w:rsidRPr="00F3493F">
        <w:t>Sinks cannot overlap the adequate clear floor space next to the toilet</w:t>
      </w:r>
    </w:p>
    <w:p w:rsidR="009F7DB8" w:rsidRPr="00F3493F" w:rsidRDefault="009F7DB8" w:rsidP="009F7DB8">
      <w:pPr>
        <w:pStyle w:val="NoSpacing"/>
        <w:numPr>
          <w:ilvl w:val="0"/>
          <w:numId w:val="32"/>
        </w:numPr>
        <w:ind w:left="540"/>
      </w:pPr>
      <w:r w:rsidRPr="00F3493F">
        <w:t>Roll-in shower</w:t>
      </w:r>
      <w:r w:rsidR="00D64B3C">
        <w:t>s</w:t>
      </w:r>
      <w:r w:rsidRPr="00F3493F">
        <w:t xml:space="preserve"> must have shower seats and controls positioned within reach of a provided seat</w:t>
      </w:r>
    </w:p>
    <w:p w:rsidR="009F7DB8" w:rsidRPr="00F3493F" w:rsidRDefault="009F7DB8" w:rsidP="009F7DB8">
      <w:pPr>
        <w:pStyle w:val="NoSpacing"/>
        <w:numPr>
          <w:ilvl w:val="0"/>
          <w:numId w:val="32"/>
        </w:numPr>
        <w:ind w:left="540"/>
      </w:pPr>
      <w:r w:rsidRPr="00F3493F">
        <w:t>Portable shower seats must have seat backs, adequate structural strength, and non-slip caps on seat legs</w:t>
      </w:r>
    </w:p>
    <w:p w:rsidR="00CC7C8A" w:rsidRPr="00F3493F" w:rsidRDefault="00043F2A" w:rsidP="00E513EF">
      <w:pPr>
        <w:pStyle w:val="NoSpacing"/>
        <w:numPr>
          <w:ilvl w:val="0"/>
          <w:numId w:val="32"/>
        </w:numPr>
        <w:ind w:left="540"/>
      </w:pPr>
      <w:r w:rsidRPr="00F3493F">
        <w:t>Provide multiple outlets and cords</w:t>
      </w:r>
    </w:p>
    <w:p w:rsidR="009D3E9F" w:rsidRPr="00F3493F" w:rsidRDefault="009D3E9F" w:rsidP="00E513EF">
      <w:pPr>
        <w:pStyle w:val="NoSpacing"/>
        <w:numPr>
          <w:ilvl w:val="0"/>
          <w:numId w:val="32"/>
        </w:numPr>
        <w:ind w:left="540"/>
        <w:rPr>
          <w:rFonts w:cs="Calibri"/>
        </w:rPr>
      </w:pPr>
      <w:r w:rsidRPr="00F3493F">
        <w:rPr>
          <w:rFonts w:cs="Calibri"/>
          <w:color w:val="000000"/>
          <w:shd w:val="clear" w:color="auto" w:fill="FFFFFF"/>
        </w:rPr>
        <w:t>Provide telephone interface jacks that are compatible with both digital and analog signal use. For headset or external amplification system compatibility, a standard subminiature jack installed in the telephone will pro</w:t>
      </w:r>
      <w:r w:rsidR="00F3493F">
        <w:rPr>
          <w:rFonts w:cs="Calibri"/>
          <w:color w:val="000000"/>
          <w:shd w:val="clear" w:color="auto" w:fill="FFFFFF"/>
        </w:rPr>
        <w:t>vide the most flexibility</w:t>
      </w:r>
    </w:p>
    <w:p w:rsidR="00500278" w:rsidRPr="00F3493F" w:rsidRDefault="00500278" w:rsidP="00E513EF">
      <w:pPr>
        <w:pStyle w:val="NoSpacing"/>
        <w:numPr>
          <w:ilvl w:val="0"/>
          <w:numId w:val="32"/>
        </w:numPr>
        <w:ind w:left="540"/>
        <w:rPr>
          <w:rFonts w:cs="Calibri"/>
        </w:rPr>
      </w:pPr>
      <w:r w:rsidRPr="00F3493F">
        <w:rPr>
          <w:rFonts w:cs="Calibri"/>
          <w:color w:val="000000"/>
          <w:shd w:val="clear" w:color="auto" w:fill="FFFFFF"/>
        </w:rPr>
        <w:t>Provide visible notification devices to alert the guest of incoming telephone calls and a door knock or bell</w:t>
      </w:r>
    </w:p>
    <w:p w:rsidR="00AE5E3F" w:rsidRPr="00777912" w:rsidRDefault="00AE5E3F" w:rsidP="002C37E4">
      <w:pPr>
        <w:pStyle w:val="NoSpacing"/>
      </w:pPr>
    </w:p>
    <w:p w:rsidR="001B04FC" w:rsidRPr="00D15294" w:rsidRDefault="001B04FC" w:rsidP="00A40A8E">
      <w:pPr>
        <w:pStyle w:val="Heading1"/>
        <w:spacing w:before="0" w:line="240" w:lineRule="auto"/>
        <w:rPr>
          <w:rFonts w:ascii="Calibri" w:hAnsi="Calibri"/>
          <w:color w:val="820000"/>
          <w:sz w:val="22"/>
          <w:szCs w:val="22"/>
        </w:rPr>
      </w:pPr>
      <w:r w:rsidRPr="00D15294">
        <w:rPr>
          <w:rFonts w:ascii="Calibri" w:hAnsi="Calibri"/>
          <w:color w:val="820000"/>
          <w:sz w:val="22"/>
          <w:szCs w:val="22"/>
        </w:rPr>
        <w:t>Amenities</w:t>
      </w:r>
    </w:p>
    <w:p w:rsidR="002C37E4" w:rsidRPr="001B04FC" w:rsidRDefault="00777912" w:rsidP="00777912">
      <w:pPr>
        <w:pStyle w:val="NoSpacing"/>
        <w:numPr>
          <w:ilvl w:val="0"/>
          <w:numId w:val="30"/>
        </w:numPr>
        <w:ind w:left="540" w:right="2412"/>
      </w:pPr>
      <w:r w:rsidRPr="00A40A8E">
        <w:rPr>
          <w:noProof/>
          <w:sz w:val="10"/>
          <w:szCs w:val="10"/>
        </w:rPr>
        <w:drawing>
          <wp:anchor distT="0" distB="0" distL="114300" distR="114300" simplePos="0" relativeHeight="251659264" behindDoc="1" locked="0" layoutInCell="1" allowOverlap="1">
            <wp:simplePos x="0" y="0"/>
            <wp:positionH relativeFrom="margin">
              <wp:posOffset>5370830</wp:posOffset>
            </wp:positionH>
            <wp:positionV relativeFrom="paragraph">
              <wp:posOffset>27940</wp:posOffset>
            </wp:positionV>
            <wp:extent cx="1277620" cy="1277620"/>
            <wp:effectExtent l="19050" t="19050" r="17780" b="17780"/>
            <wp:wrapNone/>
            <wp:docPr id="94" name="Picture 94" descr="Portable pool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ortable pool lif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37E4" w:rsidRPr="001B04FC">
        <w:t>Swimming pool</w:t>
      </w:r>
      <w:r w:rsidR="00EF14E4" w:rsidRPr="001B04FC">
        <w:t>s require lifts or sloped entry</w:t>
      </w:r>
      <w:r w:rsidR="00D66B72">
        <w:rPr>
          <w:rFonts w:cs="Calibri"/>
        </w:rPr>
        <w:t xml:space="preserve">. </w:t>
      </w:r>
      <w:r w:rsidR="00D66B72" w:rsidRPr="007F10F2">
        <w:t xml:space="preserve">If it is not readily achievable to install a fixed lift, </w:t>
      </w:r>
      <w:r w:rsidR="006C7E6E">
        <w:t xml:space="preserve">a </w:t>
      </w:r>
      <w:r w:rsidR="00D66B72" w:rsidRPr="007F10F2">
        <w:t>business may use other means to achieve compliance, such as using a non-fixed lift.</w:t>
      </w:r>
    </w:p>
    <w:p w:rsidR="002C37E4" w:rsidRPr="001B04FC" w:rsidRDefault="002C37E4" w:rsidP="00777912">
      <w:pPr>
        <w:pStyle w:val="NoSpacing"/>
        <w:numPr>
          <w:ilvl w:val="0"/>
          <w:numId w:val="30"/>
        </w:numPr>
        <w:ind w:left="540" w:right="2592"/>
      </w:pPr>
      <w:r w:rsidRPr="001B04FC">
        <w:t>Saunas and steam rooms require accessible do</w:t>
      </w:r>
      <w:r w:rsidR="00EF14E4" w:rsidRPr="001B04FC">
        <w:t>ors, turning space, and benches</w:t>
      </w:r>
    </w:p>
    <w:p w:rsidR="002C37E4" w:rsidRPr="001B04FC" w:rsidRDefault="002C37E4" w:rsidP="00777912">
      <w:pPr>
        <w:pStyle w:val="NoSpacing"/>
        <w:numPr>
          <w:ilvl w:val="0"/>
          <w:numId w:val="30"/>
        </w:numPr>
        <w:ind w:left="540" w:right="2592"/>
      </w:pPr>
      <w:r w:rsidRPr="001B04FC">
        <w:t>Playgrounds require accessible r</w:t>
      </w:r>
      <w:r w:rsidR="00EF14E4" w:rsidRPr="001B04FC">
        <w:t>outes and playground equipment</w:t>
      </w:r>
    </w:p>
    <w:p w:rsidR="002C37E4" w:rsidRPr="001B04FC" w:rsidRDefault="002C37E4" w:rsidP="00777912">
      <w:pPr>
        <w:pStyle w:val="NoSpacing"/>
        <w:numPr>
          <w:ilvl w:val="0"/>
          <w:numId w:val="30"/>
        </w:numPr>
        <w:ind w:left="540" w:right="2592"/>
      </w:pPr>
      <w:r w:rsidRPr="001B04FC">
        <w:t>Accessible single user toilet rooms req</w:t>
      </w:r>
      <w:r w:rsidR="00EF14E4" w:rsidRPr="001B04FC">
        <w:t>uire more space for transfers</w:t>
      </w:r>
    </w:p>
    <w:p w:rsidR="002C37E4" w:rsidRPr="001B04FC" w:rsidRDefault="002C37E4" w:rsidP="00777912">
      <w:pPr>
        <w:pStyle w:val="NoSpacing"/>
        <w:numPr>
          <w:ilvl w:val="0"/>
          <w:numId w:val="30"/>
        </w:numPr>
        <w:ind w:left="540" w:right="2592"/>
      </w:pPr>
      <w:r w:rsidRPr="001B04FC">
        <w:t>Exercise machines must be on an accessible route s</w:t>
      </w:r>
      <w:r w:rsidR="00EF14E4" w:rsidRPr="001B04FC">
        <w:t>urrounded by clear floor space</w:t>
      </w:r>
    </w:p>
    <w:p w:rsidR="002C37E4" w:rsidRPr="001B04FC" w:rsidRDefault="002C37E4" w:rsidP="00777912">
      <w:pPr>
        <w:pStyle w:val="NoSpacing"/>
        <w:numPr>
          <w:ilvl w:val="0"/>
          <w:numId w:val="30"/>
        </w:numPr>
        <w:ind w:left="540" w:right="2592"/>
      </w:pPr>
      <w:r w:rsidRPr="001B04FC">
        <w:t xml:space="preserve">Assembly areas require dispersion of accessible seating with lines of </w:t>
      </w:r>
      <w:r w:rsidR="00EF14E4" w:rsidRPr="001B04FC">
        <w:t>sight over standing spectators</w:t>
      </w:r>
    </w:p>
    <w:p w:rsidR="002C37E4" w:rsidRPr="005D09F9" w:rsidRDefault="002C37E4" w:rsidP="00777912">
      <w:pPr>
        <w:pStyle w:val="NoSpacing"/>
        <w:numPr>
          <w:ilvl w:val="0"/>
          <w:numId w:val="30"/>
        </w:numPr>
        <w:ind w:left="540" w:right="-18"/>
      </w:pPr>
      <w:r w:rsidRPr="001B04FC">
        <w:t>Washers and dryers, kitchens, and vendi</w:t>
      </w:r>
      <w:r w:rsidR="00EF14E4" w:rsidRPr="001B04FC">
        <w:t>ng machines must be accessible</w:t>
      </w:r>
    </w:p>
    <w:p w:rsidR="005D09F9" w:rsidRPr="001B04FC" w:rsidRDefault="005D09F9" w:rsidP="00777912">
      <w:pPr>
        <w:pStyle w:val="NoSpacing"/>
        <w:numPr>
          <w:ilvl w:val="0"/>
          <w:numId w:val="30"/>
        </w:numPr>
        <w:ind w:left="540" w:right="-18"/>
      </w:pPr>
      <w:r>
        <w:t>S</w:t>
      </w:r>
      <w:r w:rsidRPr="00E513EF">
        <w:t>ervice dogs</w:t>
      </w:r>
      <w:r>
        <w:t xml:space="preserve"> must be allowed into all areas of the hotel</w:t>
      </w:r>
      <w:r w:rsidRPr="00E513EF">
        <w:t>, without charges or condit</w:t>
      </w:r>
      <w:r>
        <w:t>ions</w:t>
      </w:r>
    </w:p>
    <w:p w:rsidR="002C37E4" w:rsidRPr="00777912" w:rsidRDefault="002C37E4" w:rsidP="0052358F">
      <w:pPr>
        <w:pStyle w:val="NoSpacing"/>
      </w:pPr>
    </w:p>
    <w:p w:rsidR="00A40A8E" w:rsidRDefault="00A40A8E" w:rsidP="00A40A8E">
      <w:pPr>
        <w:pStyle w:val="Heading1"/>
        <w:spacing w:before="0" w:line="240" w:lineRule="auto"/>
        <w:rPr>
          <w:rFonts w:ascii="Calibri" w:hAnsi="Calibri"/>
          <w:color w:val="820000"/>
          <w:sz w:val="22"/>
          <w:szCs w:val="22"/>
        </w:rPr>
      </w:pPr>
      <w:r>
        <w:rPr>
          <w:rFonts w:ascii="Calibri" w:hAnsi="Calibri"/>
          <w:color w:val="820000"/>
          <w:sz w:val="22"/>
          <w:szCs w:val="22"/>
        </w:rPr>
        <w:t>Signage and Emergency Warning Systems</w:t>
      </w:r>
    </w:p>
    <w:p w:rsidR="00A40A8E" w:rsidRPr="00F3493F" w:rsidRDefault="00A40A8E" w:rsidP="00A40A8E">
      <w:pPr>
        <w:pStyle w:val="NoSpacing"/>
        <w:numPr>
          <w:ilvl w:val="0"/>
          <w:numId w:val="32"/>
        </w:numPr>
        <w:ind w:left="540"/>
      </w:pPr>
      <w:r w:rsidRPr="00F3493F">
        <w:t xml:space="preserve">In hallways and elevators, post signs in braille and raised characters that meet guidelines of section 703 of the </w:t>
      </w:r>
      <w:hyperlink r:id="rId11" w:anchor="Alarm" w:history="1">
        <w:r w:rsidRPr="00F3493F">
          <w:rPr>
            <w:rStyle w:val="Hyperlink"/>
          </w:rPr>
          <w:t>2010 ADA Standards for Accessible Design</w:t>
        </w:r>
      </w:hyperlink>
      <w:r w:rsidRPr="00F3493F">
        <w:rPr>
          <w:rFonts w:cs="Calibri"/>
        </w:rPr>
        <w:t>†</w:t>
      </w:r>
    </w:p>
    <w:p w:rsidR="00A40A8E" w:rsidRPr="00F3493F" w:rsidRDefault="00A40A8E" w:rsidP="00A40A8E">
      <w:pPr>
        <w:pStyle w:val="NoSpacing"/>
        <w:numPr>
          <w:ilvl w:val="0"/>
          <w:numId w:val="32"/>
        </w:numPr>
        <w:ind w:left="540"/>
      </w:pPr>
      <w:r w:rsidRPr="00F3493F">
        <w:lastRenderedPageBreak/>
        <w:t>Where emergency warning systems are located, install both audible and visual alerts with alerts not to exceed 110db. Visible notification appliances must conform to the characteristics set forth by National Fire Alarm Code (</w:t>
      </w:r>
      <w:hyperlink r:id="rId12" w:history="1">
        <w:r w:rsidRPr="00F3493F">
          <w:rPr>
            <w:rStyle w:val="Hyperlink"/>
          </w:rPr>
          <w:t>Section 7.5 of the 2002 edition</w:t>
        </w:r>
      </w:hyperlink>
      <w:r w:rsidRPr="00F3493F">
        <w:t xml:space="preserve"> or </w:t>
      </w:r>
      <w:hyperlink r:id="rId13" w:history="1">
        <w:r w:rsidRPr="00F3493F">
          <w:rPr>
            <w:rStyle w:val="Hyperlink"/>
          </w:rPr>
          <w:t>Section 4-4 of the 1999 edition</w:t>
        </w:r>
      </w:hyperlink>
      <w:r w:rsidRPr="00F3493F">
        <w:t>. If wall-mounted, these appliances must be mounded so that the entire lens is between 2.0m and 2.4m above the finished floor. If the alarm’s sound pattern is of the T-3 variety, then a bed-shaker alert system can also be used in conjunction with the hard-wired alarm.</w:t>
      </w:r>
    </w:p>
    <w:p w:rsidR="00A40A8E" w:rsidRPr="00777912" w:rsidRDefault="00A40A8E" w:rsidP="00A40A8E">
      <w:pPr>
        <w:spacing w:after="0" w:line="240" w:lineRule="auto"/>
      </w:pPr>
    </w:p>
    <w:p w:rsidR="004A3D15" w:rsidRPr="00D15294" w:rsidRDefault="004A3D15" w:rsidP="0052358F">
      <w:pPr>
        <w:pStyle w:val="Heading1"/>
        <w:spacing w:before="0" w:line="240" w:lineRule="auto"/>
        <w:rPr>
          <w:rFonts w:ascii="Calibri" w:hAnsi="Calibri"/>
          <w:color w:val="820000"/>
          <w:sz w:val="22"/>
          <w:szCs w:val="22"/>
        </w:rPr>
      </w:pPr>
      <w:r w:rsidRPr="00D15294">
        <w:rPr>
          <w:rFonts w:ascii="Calibri" w:hAnsi="Calibri"/>
          <w:color w:val="820000"/>
          <w:sz w:val="22"/>
          <w:szCs w:val="22"/>
        </w:rPr>
        <w:t>Hospitality</w:t>
      </w:r>
      <w:r w:rsidR="006352D1" w:rsidRPr="00D15294">
        <w:rPr>
          <w:rFonts w:ascii="Calibri" w:hAnsi="Calibri"/>
          <w:color w:val="820000"/>
          <w:sz w:val="22"/>
          <w:szCs w:val="22"/>
        </w:rPr>
        <w:t xml:space="preserve"> Tips</w:t>
      </w:r>
    </w:p>
    <w:p w:rsidR="004A3D15" w:rsidRPr="00E513EF" w:rsidRDefault="00607B7A" w:rsidP="00BC0C8B">
      <w:pPr>
        <w:pStyle w:val="NoSpacing"/>
      </w:pPr>
      <w:r w:rsidRPr="00A40A8E">
        <w:rPr>
          <w:noProof/>
          <w:color w:val="820000"/>
          <w:sz w:val="10"/>
          <w:szCs w:val="10"/>
        </w:rPr>
        <w:drawing>
          <wp:anchor distT="0" distB="0" distL="114300" distR="114300" simplePos="0" relativeHeight="251656192" behindDoc="1" locked="0" layoutInCell="1" allowOverlap="0">
            <wp:simplePos x="0" y="0"/>
            <wp:positionH relativeFrom="margin">
              <wp:align>right</wp:align>
            </wp:positionH>
            <wp:positionV relativeFrom="paragraph">
              <wp:posOffset>20955</wp:posOffset>
            </wp:positionV>
            <wp:extent cx="1549400" cy="1046480"/>
            <wp:effectExtent l="19050" t="19050" r="12700" b="20320"/>
            <wp:wrapTight wrapText="bothSides">
              <wp:wrapPolygon edited="0">
                <wp:start x="-266" y="-393"/>
                <wp:lineTo x="-266" y="21626"/>
                <wp:lineTo x="21511" y="21626"/>
                <wp:lineTo x="21511" y="-393"/>
                <wp:lineTo x="-266" y="-393"/>
              </wp:wrapPolygon>
            </wp:wrapTight>
            <wp:docPr id="89" name="Picture 2" descr="Description: Hotel staff marking shower amenities with tape for a woman who is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otel staff marking shower amenities with tape for a woman who is bli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9400" cy="1046480"/>
                    </a:xfrm>
                    <a:prstGeom prst="rect">
                      <a:avLst/>
                    </a:prstGeom>
                    <a:solidFill>
                      <a:srgbClr val="000000"/>
                    </a:solid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513EF" w:rsidRPr="00E513EF">
        <w:t xml:space="preserve">To </w:t>
      </w:r>
      <w:r w:rsidR="001621ED" w:rsidRPr="00E513EF">
        <w:t>make your guests’ stay more accessible:</w:t>
      </w:r>
    </w:p>
    <w:p w:rsidR="00787A91" w:rsidRPr="00E513EF" w:rsidRDefault="004A3D15" w:rsidP="00E513EF">
      <w:pPr>
        <w:pStyle w:val="NoSpacing"/>
        <w:numPr>
          <w:ilvl w:val="0"/>
          <w:numId w:val="37"/>
        </w:numPr>
        <w:ind w:left="540"/>
      </w:pPr>
      <w:r w:rsidRPr="00E513EF">
        <w:t>Place hangers, iron</w:t>
      </w:r>
      <w:r w:rsidR="004E7DF7" w:rsidRPr="00E513EF">
        <w:t>, and extra pillows and blankets</w:t>
      </w:r>
      <w:r w:rsidRPr="00E513EF">
        <w:t xml:space="preserve"> on the lowered </w:t>
      </w:r>
      <w:r w:rsidR="004E7DF7" w:rsidRPr="00E513EF">
        <w:t>closet bar, s</w:t>
      </w:r>
      <w:r w:rsidRPr="00E513EF">
        <w:t>helf</w:t>
      </w:r>
      <w:r w:rsidR="004E7DF7" w:rsidRPr="00E513EF">
        <w:t>,</w:t>
      </w:r>
      <w:r w:rsidR="00E513EF" w:rsidRPr="00E513EF">
        <w:t xml:space="preserve"> or counter in accessible rooms</w:t>
      </w:r>
    </w:p>
    <w:p w:rsidR="00DC5FF5" w:rsidRPr="00E513EF" w:rsidRDefault="00E513EF" w:rsidP="00E513EF">
      <w:pPr>
        <w:pStyle w:val="NoSpacing"/>
        <w:numPr>
          <w:ilvl w:val="0"/>
          <w:numId w:val="37"/>
        </w:numPr>
        <w:ind w:left="540"/>
      </w:pPr>
      <w:r w:rsidRPr="00E513EF">
        <w:t>Mark s</w:t>
      </w:r>
      <w:r w:rsidR="00DC5FF5" w:rsidRPr="00E513EF">
        <w:t>hower amenities with tape or a rubber band so that guests have a tactile way to differentiate between the shampoo, conditioner</w:t>
      </w:r>
      <w:r w:rsidR="00596255" w:rsidRPr="00E513EF">
        <w:t>,</w:t>
      </w:r>
      <w:r w:rsidRPr="00E513EF">
        <w:t xml:space="preserve"> or lotion</w:t>
      </w:r>
    </w:p>
    <w:p w:rsidR="00DC5FF5" w:rsidRPr="00E513EF" w:rsidRDefault="00DC5FF5" w:rsidP="00E513EF">
      <w:pPr>
        <w:pStyle w:val="NoSpacing"/>
        <w:numPr>
          <w:ilvl w:val="0"/>
          <w:numId w:val="37"/>
        </w:numPr>
        <w:ind w:left="540"/>
      </w:pPr>
      <w:r w:rsidRPr="00E513EF">
        <w:t>Lower hand held shower nozzle to bottom of sl</w:t>
      </w:r>
      <w:r w:rsidR="00E513EF" w:rsidRPr="00E513EF">
        <w:t>iding bar so it is within reach</w:t>
      </w:r>
    </w:p>
    <w:p w:rsidR="00E513EF" w:rsidRPr="00E513EF" w:rsidRDefault="00AA0579" w:rsidP="00E513EF">
      <w:pPr>
        <w:pStyle w:val="NoSpacing"/>
        <w:numPr>
          <w:ilvl w:val="0"/>
          <w:numId w:val="37"/>
        </w:numPr>
        <w:ind w:left="540" w:right="4482"/>
      </w:pPr>
      <w:r w:rsidRPr="00E513EF">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153035</wp:posOffset>
            </wp:positionV>
            <wp:extent cx="1362075" cy="1148715"/>
            <wp:effectExtent l="19050" t="19050" r="28575" b="13335"/>
            <wp:wrapTight wrapText="bothSides">
              <wp:wrapPolygon edited="0">
                <wp:start x="-302" y="-358"/>
                <wp:lineTo x="-302" y="21493"/>
                <wp:lineTo x="21751" y="21493"/>
                <wp:lineTo x="21751" y="-358"/>
                <wp:lineTo x="-302" y="-358"/>
              </wp:wrapPolygon>
            </wp:wrapTight>
            <wp:docPr id="90" name="Picture 1" descr="Description: Hotel staff lowering hand held shower no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tel staff lowering hand held shower nozzle"/>
                    <pic:cNvPicPr>
                      <a:picLocks noChangeAspect="1" noChangeArrowheads="1"/>
                    </pic:cNvPicPr>
                  </pic:nvPicPr>
                  <pic:blipFill>
                    <a:blip r:embed="rId15">
                      <a:extLst>
                        <a:ext uri="{28A0092B-C50C-407E-A947-70E740481C1C}">
                          <a14:useLocalDpi xmlns:a14="http://schemas.microsoft.com/office/drawing/2010/main" val="0"/>
                        </a:ext>
                      </a:extLst>
                    </a:blip>
                    <a:srcRect l="11842" r="9268"/>
                    <a:stretch>
                      <a:fillRect/>
                    </a:stretch>
                  </pic:blipFill>
                  <pic:spPr bwMode="auto">
                    <a:xfrm>
                      <a:off x="0" y="0"/>
                      <a:ext cx="1362075" cy="114871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A3D15" w:rsidRPr="00E513EF">
        <w:t>Arrange furniture</w:t>
      </w:r>
      <w:r w:rsidR="004E7DF7" w:rsidRPr="00E513EF">
        <w:t xml:space="preserve"> so it does not block access to power </w:t>
      </w:r>
      <w:r w:rsidR="004A3D15" w:rsidRPr="00E513EF">
        <w:t>outlets, temperature controls</w:t>
      </w:r>
      <w:r w:rsidR="00596255" w:rsidRPr="00E513EF">
        <w:t>,</w:t>
      </w:r>
      <w:r w:rsidR="00E513EF" w:rsidRPr="00E513EF">
        <w:t xml:space="preserve"> or curtain handles</w:t>
      </w:r>
    </w:p>
    <w:p w:rsidR="00787A91" w:rsidRPr="00E513EF" w:rsidRDefault="004A3D15" w:rsidP="00E513EF">
      <w:pPr>
        <w:pStyle w:val="NoSpacing"/>
        <w:numPr>
          <w:ilvl w:val="0"/>
          <w:numId w:val="37"/>
        </w:numPr>
        <w:ind w:left="540" w:right="4482"/>
      </w:pPr>
      <w:r w:rsidRPr="00E513EF">
        <w:t>Offer room service menu, hotel directory and TV channel</w:t>
      </w:r>
      <w:r w:rsidR="00787A91" w:rsidRPr="00E513EF">
        <w:t xml:space="preserve"> </w:t>
      </w:r>
      <w:r w:rsidR="00E513EF">
        <w:t>guide in accessible formats</w:t>
      </w:r>
      <w:r w:rsidR="00BB7A9A" w:rsidRPr="00E513EF">
        <w:rPr>
          <w:noProof/>
        </w:rPr>
        <w:t xml:space="preserve"> </w:t>
      </w:r>
    </w:p>
    <w:p w:rsidR="00D02F3F" w:rsidRPr="00E513EF" w:rsidRDefault="00E513EF" w:rsidP="00E513EF">
      <w:pPr>
        <w:pStyle w:val="NoSpacing"/>
        <w:numPr>
          <w:ilvl w:val="0"/>
          <w:numId w:val="37"/>
        </w:numPr>
        <w:ind w:left="540" w:right="4482"/>
      </w:pPr>
      <w:r>
        <w:t xml:space="preserve">Ask guests who are blind or have low vision if they would like </w:t>
      </w:r>
      <w:r w:rsidR="004A3D15" w:rsidRPr="00E513EF">
        <w:t>a tour and orie</w:t>
      </w:r>
      <w:r>
        <w:t>ntation of lobby and guest room</w:t>
      </w:r>
    </w:p>
    <w:p w:rsidR="00E32863" w:rsidRPr="00E513EF" w:rsidRDefault="004A3D15" w:rsidP="00E513EF">
      <w:pPr>
        <w:pStyle w:val="NoSpacing"/>
        <w:numPr>
          <w:ilvl w:val="0"/>
          <w:numId w:val="38"/>
        </w:numPr>
        <w:ind w:left="540"/>
      </w:pPr>
      <w:r w:rsidRPr="00E513EF">
        <w:t>Keep the lowered check</w:t>
      </w:r>
      <w:r w:rsidR="0030738E" w:rsidRPr="00E513EF">
        <w:t>-</w:t>
      </w:r>
      <w:r w:rsidRPr="00E513EF">
        <w:t>in</w:t>
      </w:r>
      <w:r w:rsidR="00D02F3F" w:rsidRPr="00E513EF">
        <w:t xml:space="preserve"> counter clear and </w:t>
      </w:r>
      <w:r w:rsidR="00DC5FF5" w:rsidRPr="00E513EF">
        <w:t xml:space="preserve">available for </w:t>
      </w:r>
      <w:r w:rsidRPr="00E513EF">
        <w:t>use.</w:t>
      </w:r>
      <w:r w:rsidR="00D02F3F" w:rsidRPr="00E513EF">
        <w:t xml:space="preserve"> </w:t>
      </w:r>
      <w:r w:rsidRPr="00E513EF">
        <w:t>Do not use for brochures, computer, etc</w:t>
      </w:r>
      <w:r w:rsidR="0030738E" w:rsidRPr="00E513EF">
        <w:t>.</w:t>
      </w:r>
    </w:p>
    <w:p w:rsidR="00D02F3F" w:rsidRPr="00E513EF" w:rsidRDefault="004A3D15" w:rsidP="00E513EF">
      <w:pPr>
        <w:pStyle w:val="NoSpacing"/>
        <w:numPr>
          <w:ilvl w:val="0"/>
          <w:numId w:val="35"/>
        </w:numPr>
        <w:ind w:left="540"/>
      </w:pPr>
      <w:r w:rsidRPr="00E513EF">
        <w:t>Train staff to know the locat</w:t>
      </w:r>
      <w:r w:rsidR="00787A91" w:rsidRPr="00E513EF">
        <w:t xml:space="preserve">ion of </w:t>
      </w:r>
      <w:r w:rsidR="0056246B" w:rsidRPr="00E513EF">
        <w:t xml:space="preserve">adapted equipment </w:t>
      </w:r>
      <w:r w:rsidR="00787A91" w:rsidRPr="00E513EF">
        <w:t xml:space="preserve">and how to </w:t>
      </w:r>
      <w:r w:rsidR="005D09F9">
        <w:t>operate the devices</w:t>
      </w:r>
    </w:p>
    <w:p w:rsidR="002617F1" w:rsidRPr="00777912" w:rsidRDefault="002617F1" w:rsidP="002617F1">
      <w:pPr>
        <w:pStyle w:val="NoSpacing"/>
      </w:pPr>
    </w:p>
    <w:p w:rsidR="00BB7A9A" w:rsidRPr="001B04FC" w:rsidRDefault="00F42D06" w:rsidP="00EF14E4">
      <w:pPr>
        <w:pStyle w:val="NoSpacing"/>
        <w:tabs>
          <w:tab w:val="left" w:pos="0"/>
        </w:tabs>
        <w:jc w:val="both"/>
      </w:pPr>
      <w:r w:rsidRPr="001B04FC">
        <w:t>*</w:t>
      </w:r>
      <w:r w:rsidR="00A825AC">
        <w:t xml:space="preserve"> </w:t>
      </w:r>
      <w:r w:rsidR="002617F1" w:rsidRPr="001B04FC">
        <w:t xml:space="preserve">The </w:t>
      </w:r>
      <w:r w:rsidR="002617F1" w:rsidRPr="00D44F04">
        <w:t>2010 ADA Standards for Accessible Design</w:t>
      </w:r>
      <w:r w:rsidR="002617F1" w:rsidRPr="001B04FC">
        <w:rPr>
          <w:i/>
        </w:rPr>
        <w:t xml:space="preserve"> </w:t>
      </w:r>
      <w:r w:rsidR="002617F1" w:rsidRPr="001B04FC">
        <w:t xml:space="preserve">went into effect on </w:t>
      </w:r>
      <w:r w:rsidR="002617F1" w:rsidRPr="00034CB1">
        <w:t>March 15, 2012</w:t>
      </w:r>
      <w:r w:rsidR="002617F1" w:rsidRPr="001B04FC">
        <w:t>. Covered entities that should have complied with the 1991 Standards during any previous construction or alteration, but had not done so by March 15, 2012, must comply with the 2010 Standards. Elements in existing facilities that comply with the 1991 Standards as of March 15, 2012, are protected by a “</w:t>
      </w:r>
      <w:r w:rsidR="002617F1" w:rsidRPr="001B04FC">
        <w:rPr>
          <w:b/>
        </w:rPr>
        <w:t>safe harbor</w:t>
      </w:r>
      <w:r w:rsidR="002617F1" w:rsidRPr="001B04FC">
        <w:t>.” These elements will not need to be changed until they are altered. Public accommodations that have existing elements that are covered for the first time under the 2010 Standards (like pools) must make those elements accessible, to an extent that is readily achievable</w:t>
      </w:r>
      <w:r w:rsidR="00EF14E4" w:rsidRPr="001B04FC">
        <w:t>.</w:t>
      </w:r>
    </w:p>
    <w:p w:rsidR="00EF14E4" w:rsidRPr="00777912" w:rsidRDefault="00EF14E4" w:rsidP="00EF14E4">
      <w:pPr>
        <w:pStyle w:val="NoSpacing"/>
        <w:tabs>
          <w:tab w:val="left" w:pos="0"/>
        </w:tabs>
        <w:jc w:val="both"/>
      </w:pPr>
    </w:p>
    <w:p w:rsidR="007F10F2" w:rsidRPr="00580CA4" w:rsidRDefault="00034CB1" w:rsidP="00EF14E4">
      <w:pPr>
        <w:pStyle w:val="NoSpacing"/>
        <w:tabs>
          <w:tab w:val="left" w:pos="0"/>
        </w:tabs>
        <w:jc w:val="both"/>
        <w:rPr>
          <w:rFonts w:cs="Calibri"/>
        </w:rPr>
      </w:pPr>
      <w:r w:rsidRPr="00F3493F">
        <w:rPr>
          <w:rFonts w:cs="Calibri"/>
        </w:rPr>
        <w:t>†</w:t>
      </w:r>
      <w:r>
        <w:rPr>
          <w:rFonts w:cs="Calibri"/>
        </w:rPr>
        <w:t xml:space="preserve"> </w:t>
      </w:r>
      <w:r w:rsidR="007F10F2" w:rsidRPr="00580CA4">
        <w:rPr>
          <w:rFonts w:cs="Calibri"/>
        </w:rPr>
        <w:t>R</w:t>
      </w:r>
      <w:r w:rsidR="007F10F2" w:rsidRPr="00580CA4">
        <w:rPr>
          <w:rFonts w:cs="Calibri"/>
          <w:color w:val="000000"/>
          <w:shd w:val="clear" w:color="auto" w:fill="FFFFFF"/>
        </w:rPr>
        <w:t>aised character and braille elevator controls are usually required to be installed in existing facilities, because they involve little difficulty or expense and are generally considered to be readily achievable.</w:t>
      </w:r>
    </w:p>
    <w:p w:rsidR="00EA6CAB" w:rsidRPr="00777912" w:rsidRDefault="00EA6CAB" w:rsidP="00777912">
      <w:pPr>
        <w:pStyle w:val="NoSpacing"/>
      </w:pPr>
    </w:p>
    <w:p w:rsidR="00BB7A9A" w:rsidRPr="00607B7A" w:rsidRDefault="00BB7A9A" w:rsidP="0026311E">
      <w:pPr>
        <w:pStyle w:val="Style5"/>
        <w:pBdr>
          <w:top w:val="single" w:sz="8" w:space="1" w:color="800000"/>
        </w:pBdr>
        <w:jc w:val="center"/>
      </w:pPr>
      <w:r>
        <w:t>About Our O</w:t>
      </w:r>
      <w:r w:rsidRPr="00CD76C0">
        <w:t>rganization</w:t>
      </w:r>
    </w:p>
    <w:p w:rsidR="005548D6" w:rsidRDefault="00BB7A9A" w:rsidP="00777912">
      <w:pPr>
        <w:spacing w:after="0" w:line="240" w:lineRule="auto"/>
        <w:jc w:val="both"/>
      </w:pPr>
      <w:r w:rsidRPr="00CD76C0">
        <w:t>Northwest ADA Center</w:t>
      </w:r>
      <w:r w:rsidRPr="00CD76C0">
        <w:rPr>
          <w:i/>
          <w:iCs/>
        </w:rPr>
        <w:t xml:space="preserve"> </w:t>
      </w:r>
      <w:r w:rsidRPr="00CD76C0">
        <w:t>provides technical assistance, information, and traini</w:t>
      </w:r>
      <w:r>
        <w:t xml:space="preserve">ng regarding the Americans with </w:t>
      </w:r>
      <w:r w:rsidRPr="00CD76C0">
        <w:t xml:space="preserve">Disabilities Act. Information is provided from the regional office in Washington State and </w:t>
      </w:r>
      <w:r>
        <w:t>state anchors</w:t>
      </w:r>
      <w:r w:rsidRPr="00CD76C0">
        <w:t xml:space="preserve"> in Alaska, Idaho, and Oregon. Specialists are available to answer specific questions pertaining to all titles of the ADA and accessibility of the built environment. </w:t>
      </w:r>
      <w:r>
        <w:t xml:space="preserve">Training staff offer </w:t>
      </w:r>
      <w:r w:rsidRPr="00CD76C0">
        <w:t xml:space="preserve">presentations to businesses, organizations, schools, people with disabilities, and the general </w:t>
      </w:r>
      <w:r>
        <w:t>public.</w:t>
      </w:r>
    </w:p>
    <w:p w:rsidR="00777912" w:rsidRPr="00777912" w:rsidRDefault="00777912" w:rsidP="00777912">
      <w:pPr>
        <w:spacing w:after="0" w:line="240" w:lineRule="auto"/>
        <w:jc w:val="center"/>
        <w:rPr>
          <w:b/>
          <w:color w:val="800000"/>
        </w:rPr>
      </w:pPr>
      <w:r>
        <w:rPr>
          <w:b/>
          <w:color w:val="800000"/>
        </w:rPr>
        <w:t>Northwest</w:t>
      </w:r>
      <w:r w:rsidRPr="00777912">
        <w:rPr>
          <w:b/>
          <w:color w:val="800000"/>
        </w:rPr>
        <w:t xml:space="preserve"> ADA Center</w:t>
      </w:r>
    </w:p>
    <w:p w:rsidR="00777912" w:rsidRPr="00777912" w:rsidRDefault="00777912" w:rsidP="00144759">
      <w:pPr>
        <w:tabs>
          <w:tab w:val="left" w:pos="3150"/>
          <w:tab w:val="left" w:pos="4680"/>
          <w:tab w:val="left" w:pos="5130"/>
        </w:tabs>
        <w:spacing w:after="0" w:line="240" w:lineRule="auto"/>
        <w:jc w:val="both"/>
        <w:rPr>
          <w:b/>
          <w:color w:val="800000"/>
        </w:rPr>
      </w:pPr>
      <w:r>
        <w:rPr>
          <w:b/>
          <w:color w:val="800000"/>
        </w:rPr>
        <w:tab/>
        <w:t>800-949-4232</w:t>
      </w:r>
      <w:r>
        <w:rPr>
          <w:b/>
          <w:color w:val="800000"/>
        </w:rPr>
        <w:tab/>
      </w:r>
      <w:r w:rsidRPr="00777912">
        <w:rPr>
          <w:b/>
          <w:color w:val="800000"/>
        </w:rPr>
        <w:sym w:font="Wingdings" w:char="F074"/>
      </w:r>
      <w:r>
        <w:rPr>
          <w:b/>
          <w:color w:val="800000"/>
        </w:rPr>
        <w:tab/>
      </w:r>
      <w:r w:rsidRPr="00777912">
        <w:rPr>
          <w:b/>
          <w:color w:val="800000"/>
        </w:rPr>
        <w:t>www.nwadacenter.org</w:t>
      </w:r>
    </w:p>
    <w:p w:rsidR="00CB785A" w:rsidRPr="00A40A8E" w:rsidRDefault="00CB785A" w:rsidP="00777912">
      <w:pPr>
        <w:pBdr>
          <w:bottom w:val="single" w:sz="8" w:space="1" w:color="800000"/>
        </w:pBdr>
        <w:tabs>
          <w:tab w:val="left" w:pos="4860"/>
          <w:tab w:val="left" w:pos="6900"/>
        </w:tabs>
        <w:spacing w:after="0" w:line="240" w:lineRule="auto"/>
        <w:rPr>
          <w:color w:val="000000"/>
          <w:sz w:val="14"/>
          <w:szCs w:val="14"/>
        </w:rPr>
      </w:pPr>
    </w:p>
    <w:p w:rsidR="00607B7A" w:rsidRPr="00A40A8E" w:rsidRDefault="00777912" w:rsidP="0026311E">
      <w:pPr>
        <w:tabs>
          <w:tab w:val="left" w:pos="6900"/>
        </w:tabs>
        <w:spacing w:after="0" w:line="240" w:lineRule="auto"/>
        <w:rPr>
          <w:color w:val="000000"/>
          <w:sz w:val="10"/>
          <w:szCs w:val="10"/>
        </w:rPr>
      </w:pPr>
      <w:r w:rsidRPr="00BC0C8B">
        <w:rPr>
          <w:noProof/>
          <w:sz w:val="20"/>
          <w:szCs w:val="20"/>
        </w:rPr>
        <w:drawing>
          <wp:anchor distT="0" distB="0" distL="114300" distR="114300" simplePos="0" relativeHeight="251658240" behindDoc="1" locked="0" layoutInCell="1" allowOverlap="1">
            <wp:simplePos x="0" y="0"/>
            <wp:positionH relativeFrom="column">
              <wp:posOffset>68877</wp:posOffset>
            </wp:positionH>
            <wp:positionV relativeFrom="paragraph">
              <wp:posOffset>74979</wp:posOffset>
            </wp:positionV>
            <wp:extent cx="1551253" cy="801585"/>
            <wp:effectExtent l="0" t="0" r="0" b="0"/>
            <wp:wrapNone/>
            <wp:docPr id="91" name="Picture 1" descr="NIDILRR Logo National Institute on Disability, Independent Living, and Rehabilita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145" cy="803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35" w:rsidRPr="00076663" w:rsidRDefault="00553B35" w:rsidP="00076663">
      <w:pPr>
        <w:tabs>
          <w:tab w:val="left" w:pos="6900"/>
        </w:tabs>
        <w:spacing w:after="0" w:line="240" w:lineRule="auto"/>
        <w:ind w:left="2880"/>
        <w:jc w:val="both"/>
        <w:rPr>
          <w:b/>
          <w:color w:val="870718"/>
        </w:rPr>
      </w:pPr>
      <w:r w:rsidRPr="00076663">
        <w:rPr>
          <w:color w:val="000000"/>
        </w:rPr>
        <w:t>The Northwest ADA Center is a member of the ADA National Network. This fact sheet was developed under grant from the Administration for Community Living (ACL), NIDILRR grant #90DP0016-02-00. However, the contents do not necessarily represent the policy of the ACL, and you should not assume endorsement by the federal government.</w:t>
      </w:r>
      <w:r w:rsidR="00CB785A" w:rsidRPr="00076663">
        <w:rPr>
          <w:color w:val="000000"/>
        </w:rPr>
        <w:t xml:space="preserve"> </w:t>
      </w:r>
      <w:r w:rsidRPr="00076663">
        <w:rPr>
          <w:b/>
          <w:color w:val="870718"/>
        </w:rPr>
        <w:t>Alternate formats available upon request.</w:t>
      </w:r>
    </w:p>
    <w:p w:rsidR="00CB785A" w:rsidRPr="00076663" w:rsidRDefault="00CB785A" w:rsidP="00A40A8E">
      <w:pPr>
        <w:pBdr>
          <w:bottom w:val="single" w:sz="8" w:space="1" w:color="990033"/>
        </w:pBdr>
        <w:spacing w:after="0" w:line="240" w:lineRule="auto"/>
        <w:rPr>
          <w:sz w:val="10"/>
          <w:szCs w:val="10"/>
          <w:shd w:val="clear" w:color="auto" w:fill="FFFFFF"/>
        </w:rPr>
      </w:pPr>
    </w:p>
    <w:p w:rsidR="00A40A8E" w:rsidRPr="00A40A8E" w:rsidRDefault="00A40A8E" w:rsidP="00607B7A">
      <w:pPr>
        <w:pStyle w:val="Footer"/>
        <w:pBdr>
          <w:top w:val="single" w:sz="2" w:space="1" w:color="800000"/>
        </w:pBdr>
        <w:tabs>
          <w:tab w:val="clear" w:pos="4680"/>
          <w:tab w:val="clear" w:pos="9360"/>
          <w:tab w:val="left" w:pos="2520"/>
          <w:tab w:val="left" w:pos="5490"/>
          <w:tab w:val="right" w:pos="10512"/>
        </w:tabs>
        <w:rPr>
          <w:b/>
          <w:color w:val="800000"/>
          <w:sz w:val="10"/>
          <w:szCs w:val="10"/>
        </w:rPr>
      </w:pPr>
    </w:p>
    <w:p w:rsidR="00CB785A" w:rsidRPr="00CB785A" w:rsidRDefault="00607B7A" w:rsidP="00144759">
      <w:pPr>
        <w:pStyle w:val="Footer"/>
        <w:pBdr>
          <w:top w:val="single" w:sz="2" w:space="1" w:color="800000"/>
        </w:pBdr>
        <w:tabs>
          <w:tab w:val="clear" w:pos="4680"/>
          <w:tab w:val="clear" w:pos="9360"/>
          <w:tab w:val="left" w:pos="2520"/>
          <w:tab w:val="left" w:pos="5040"/>
          <w:tab w:val="right" w:pos="10512"/>
        </w:tabs>
        <w:rPr>
          <w:b/>
          <w:color w:val="800000"/>
        </w:rPr>
      </w:pPr>
      <w:r>
        <w:rPr>
          <w:b/>
          <w:color w:val="800000"/>
        </w:rPr>
        <w:t>Northwest ADA Center</w:t>
      </w:r>
      <w:r>
        <w:rPr>
          <w:b/>
          <w:color w:val="800000"/>
        </w:rPr>
        <w:tab/>
      </w:r>
      <w:hyperlink r:id="rId17" w:history="1">
        <w:r w:rsidR="00144759" w:rsidRPr="001F361B">
          <w:rPr>
            <w:rStyle w:val="Hyperlink"/>
            <w:b/>
          </w:rPr>
          <w:t>www.nwadacenter.org</w:t>
        </w:r>
      </w:hyperlink>
      <w:r w:rsidR="00144759">
        <w:rPr>
          <w:b/>
          <w:color w:val="800000"/>
        </w:rPr>
        <w:tab/>
      </w:r>
      <w:r w:rsidR="00CB785A" w:rsidRPr="00CB785A">
        <w:rPr>
          <w:b/>
          <w:color w:val="800000"/>
        </w:rPr>
        <w:t>6912 220</w:t>
      </w:r>
      <w:r w:rsidR="00CB785A" w:rsidRPr="00CB785A">
        <w:rPr>
          <w:b/>
          <w:color w:val="800000"/>
          <w:vertAlign w:val="superscript"/>
        </w:rPr>
        <w:t>th</w:t>
      </w:r>
      <w:r w:rsidR="00CB785A">
        <w:rPr>
          <w:b/>
          <w:color w:val="800000"/>
        </w:rPr>
        <w:t xml:space="preserve"> St. SW</w:t>
      </w:r>
      <w:r w:rsidR="00144759">
        <w:rPr>
          <w:b/>
          <w:color w:val="800000"/>
        </w:rPr>
        <w:t>, Suite 105, M</w:t>
      </w:r>
      <w:r w:rsidR="00CB785A" w:rsidRPr="00CB785A">
        <w:rPr>
          <w:b/>
          <w:color w:val="800000"/>
        </w:rPr>
        <w:t>ountlake Terrace, WA 98043</w:t>
      </w:r>
    </w:p>
    <w:p w:rsidR="00CB785A" w:rsidRPr="0082591B" w:rsidRDefault="00CB785A" w:rsidP="00144759">
      <w:pPr>
        <w:pStyle w:val="Footer"/>
        <w:pBdr>
          <w:top w:val="single" w:sz="2" w:space="1" w:color="800000"/>
        </w:pBdr>
        <w:tabs>
          <w:tab w:val="clear" w:pos="4680"/>
          <w:tab w:val="clear" w:pos="9360"/>
          <w:tab w:val="left" w:pos="2520"/>
          <w:tab w:val="left" w:pos="4500"/>
          <w:tab w:val="left" w:pos="5040"/>
          <w:tab w:val="left" w:pos="6480"/>
          <w:tab w:val="right" w:pos="10512"/>
        </w:tabs>
        <w:rPr>
          <w:b/>
          <w:color w:val="800000"/>
          <w:sz w:val="20"/>
          <w:szCs w:val="20"/>
        </w:rPr>
      </w:pPr>
      <w:r>
        <w:rPr>
          <w:b/>
          <w:color w:val="800000"/>
        </w:rPr>
        <w:t>Toll-free:</w:t>
      </w:r>
      <w:r w:rsidR="00607B7A">
        <w:rPr>
          <w:b/>
          <w:color w:val="800000"/>
        </w:rPr>
        <w:t xml:space="preserve"> 800-949-4232</w:t>
      </w:r>
      <w:r w:rsidR="00607B7A">
        <w:rPr>
          <w:b/>
          <w:color w:val="800000"/>
        </w:rPr>
        <w:tab/>
        <w:t>TTY: 425-771-7426</w:t>
      </w:r>
      <w:r w:rsidR="00607B7A">
        <w:rPr>
          <w:b/>
          <w:color w:val="800000"/>
        </w:rPr>
        <w:tab/>
        <w:t>FAX: 425-774-9303</w:t>
      </w:r>
      <w:r w:rsidR="00607B7A">
        <w:rPr>
          <w:b/>
          <w:color w:val="800000"/>
        </w:rPr>
        <w:tab/>
      </w:r>
      <w:r w:rsidR="00A825AC">
        <w:rPr>
          <w:b/>
          <w:color w:val="800000"/>
        </w:rPr>
        <w:tab/>
      </w:r>
      <w:r w:rsidR="00BC0C8B">
        <w:rPr>
          <w:b/>
          <w:color w:val="800000"/>
        </w:rPr>
        <w:t>Revised 1/15</w:t>
      </w:r>
      <w:r>
        <w:rPr>
          <w:b/>
          <w:color w:val="800000"/>
        </w:rPr>
        <w:t>/2019</w:t>
      </w:r>
    </w:p>
    <w:sectPr w:rsidR="00CB785A" w:rsidRPr="0082591B" w:rsidSect="00777912">
      <w:type w:val="continuous"/>
      <w:pgSz w:w="12240" w:h="15840"/>
      <w:pgMar w:top="864" w:right="864" w:bottom="540" w:left="864" w:header="720" w:footer="288" w:gutter="0"/>
      <w:pgBorders w:offsetFrom="page">
        <w:top w:val="basicWideOutline" w:sz="6" w:space="24" w:color="800000"/>
        <w:left w:val="basicWideOutline" w:sz="6" w:space="24" w:color="800000"/>
        <w:bottom w:val="basicWideOutline" w:sz="6" w:space="24" w:color="800000"/>
        <w:right w:val="basicWideOutline" w:sz="6" w:space="24" w:color="8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F7" w:rsidRDefault="00A437F7" w:rsidP="007251B7">
      <w:pPr>
        <w:spacing w:after="0" w:line="240" w:lineRule="auto"/>
      </w:pPr>
      <w:r>
        <w:separator/>
      </w:r>
    </w:p>
  </w:endnote>
  <w:endnote w:type="continuationSeparator" w:id="0">
    <w:p w:rsidR="00A437F7" w:rsidRDefault="00A437F7" w:rsidP="0072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F7" w:rsidRDefault="00A437F7" w:rsidP="007251B7">
      <w:pPr>
        <w:spacing w:after="0" w:line="240" w:lineRule="auto"/>
      </w:pPr>
      <w:r>
        <w:separator/>
      </w:r>
    </w:p>
  </w:footnote>
  <w:footnote w:type="continuationSeparator" w:id="0">
    <w:p w:rsidR="00A437F7" w:rsidRDefault="00A437F7" w:rsidP="00725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8F0"/>
    <w:multiLevelType w:val="hybridMultilevel"/>
    <w:tmpl w:val="2BB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707"/>
    <w:multiLevelType w:val="hybridMultilevel"/>
    <w:tmpl w:val="14A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59CF"/>
    <w:multiLevelType w:val="hybridMultilevel"/>
    <w:tmpl w:val="0F545C30"/>
    <w:lvl w:ilvl="0" w:tplc="BC5C922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2D2E"/>
    <w:multiLevelType w:val="hybridMultilevel"/>
    <w:tmpl w:val="74A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D78"/>
    <w:multiLevelType w:val="hybridMultilevel"/>
    <w:tmpl w:val="E37465FA"/>
    <w:lvl w:ilvl="0" w:tplc="B122D3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41B7"/>
    <w:multiLevelType w:val="hybridMultilevel"/>
    <w:tmpl w:val="C234F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73BFB"/>
    <w:multiLevelType w:val="hybridMultilevel"/>
    <w:tmpl w:val="7972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56E0E"/>
    <w:multiLevelType w:val="hybridMultilevel"/>
    <w:tmpl w:val="A3CC537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1E071CC3"/>
    <w:multiLevelType w:val="hybridMultilevel"/>
    <w:tmpl w:val="1C3E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7029CA"/>
    <w:multiLevelType w:val="hybridMultilevel"/>
    <w:tmpl w:val="ED92C010"/>
    <w:lvl w:ilvl="0" w:tplc="0409000F">
      <w:start w:val="1"/>
      <w:numFmt w:val="decimal"/>
      <w:lvlText w:val="%1."/>
      <w:lvlJc w:val="left"/>
      <w:pPr>
        <w:ind w:left="2196" w:hanging="36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10" w15:restartNumberingAfterBreak="0">
    <w:nsid w:val="2EFB122A"/>
    <w:multiLevelType w:val="hybridMultilevel"/>
    <w:tmpl w:val="23F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369E"/>
    <w:multiLevelType w:val="hybridMultilevel"/>
    <w:tmpl w:val="91C60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0029D9"/>
    <w:multiLevelType w:val="hybridMultilevel"/>
    <w:tmpl w:val="B392931E"/>
    <w:lvl w:ilvl="0" w:tplc="0A944EF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1246"/>
    <w:multiLevelType w:val="hybridMultilevel"/>
    <w:tmpl w:val="F09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96231"/>
    <w:multiLevelType w:val="hybridMultilevel"/>
    <w:tmpl w:val="7368BB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5967EF"/>
    <w:multiLevelType w:val="hybridMultilevel"/>
    <w:tmpl w:val="1E8C54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4601F"/>
    <w:multiLevelType w:val="hybridMultilevel"/>
    <w:tmpl w:val="C9741802"/>
    <w:lvl w:ilvl="0" w:tplc="6862EAE4">
      <w:start w:val="1"/>
      <w:numFmt w:val="bullet"/>
      <w:lvlText w:val=""/>
      <w:lvlJc w:val="left"/>
      <w:pPr>
        <w:ind w:left="720" w:hanging="360"/>
      </w:pPr>
      <w:rPr>
        <w:rFonts w:ascii="Wingdings" w:hAnsi="Wingdings" w:hint="default"/>
        <w:color w:val="8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24F"/>
    <w:multiLevelType w:val="hybridMultilevel"/>
    <w:tmpl w:val="103AE12A"/>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42CA0D61"/>
    <w:multiLevelType w:val="hybridMultilevel"/>
    <w:tmpl w:val="92F2CC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3863C23"/>
    <w:multiLevelType w:val="hybridMultilevel"/>
    <w:tmpl w:val="96246F9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0" w15:restartNumberingAfterBreak="0">
    <w:nsid w:val="460F663B"/>
    <w:multiLevelType w:val="hybridMultilevel"/>
    <w:tmpl w:val="61B2509A"/>
    <w:lvl w:ilvl="0" w:tplc="6BD4FE4E">
      <w:start w:val="1"/>
      <w:numFmt w:val="bullet"/>
      <w:lvlText w:val=""/>
      <w:lvlJc w:val="left"/>
      <w:pPr>
        <w:ind w:left="64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D061C20"/>
    <w:multiLevelType w:val="hybridMultilevel"/>
    <w:tmpl w:val="461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77955"/>
    <w:multiLevelType w:val="hybridMultilevel"/>
    <w:tmpl w:val="098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60B6F"/>
    <w:multiLevelType w:val="hybridMultilevel"/>
    <w:tmpl w:val="AC4A3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A282C"/>
    <w:multiLevelType w:val="hybridMultilevel"/>
    <w:tmpl w:val="A476E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750A87"/>
    <w:multiLevelType w:val="hybridMultilevel"/>
    <w:tmpl w:val="D4A0A1B0"/>
    <w:lvl w:ilvl="0" w:tplc="061A5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86785C"/>
    <w:multiLevelType w:val="hybridMultilevel"/>
    <w:tmpl w:val="7E7A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6C544E"/>
    <w:multiLevelType w:val="hybridMultilevel"/>
    <w:tmpl w:val="E9260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815996"/>
    <w:multiLevelType w:val="hybridMultilevel"/>
    <w:tmpl w:val="342C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D3786A"/>
    <w:multiLevelType w:val="hybridMultilevel"/>
    <w:tmpl w:val="B0CE43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4F0968"/>
    <w:multiLevelType w:val="hybridMultilevel"/>
    <w:tmpl w:val="077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D6A74"/>
    <w:multiLevelType w:val="hybridMultilevel"/>
    <w:tmpl w:val="59D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63A16"/>
    <w:multiLevelType w:val="hybridMultilevel"/>
    <w:tmpl w:val="2B9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638FF"/>
    <w:multiLevelType w:val="hybridMultilevel"/>
    <w:tmpl w:val="6E60B5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1C724EC"/>
    <w:multiLevelType w:val="hybridMultilevel"/>
    <w:tmpl w:val="7A6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55640"/>
    <w:multiLevelType w:val="hybridMultilevel"/>
    <w:tmpl w:val="265E5AF4"/>
    <w:lvl w:ilvl="0" w:tplc="0A944EF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E312CA"/>
    <w:multiLevelType w:val="hybridMultilevel"/>
    <w:tmpl w:val="1A349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7D34A0"/>
    <w:multiLevelType w:val="hybridMultilevel"/>
    <w:tmpl w:val="43D0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14"/>
  </w:num>
  <w:num w:numId="5">
    <w:abstractNumId w:val="18"/>
  </w:num>
  <w:num w:numId="6">
    <w:abstractNumId w:val="25"/>
  </w:num>
  <w:num w:numId="7">
    <w:abstractNumId w:val="29"/>
  </w:num>
  <w:num w:numId="8">
    <w:abstractNumId w:val="3"/>
  </w:num>
  <w:num w:numId="9">
    <w:abstractNumId w:val="2"/>
  </w:num>
  <w:num w:numId="10">
    <w:abstractNumId w:val="9"/>
  </w:num>
  <w:num w:numId="11">
    <w:abstractNumId w:val="32"/>
  </w:num>
  <w:num w:numId="12">
    <w:abstractNumId w:val="17"/>
  </w:num>
  <w:num w:numId="13">
    <w:abstractNumId w:val="13"/>
  </w:num>
  <w:num w:numId="14">
    <w:abstractNumId w:val="7"/>
  </w:num>
  <w:num w:numId="15">
    <w:abstractNumId w:val="28"/>
  </w:num>
  <w:num w:numId="16">
    <w:abstractNumId w:val="20"/>
  </w:num>
  <w:num w:numId="17">
    <w:abstractNumId w:val="10"/>
  </w:num>
  <w:num w:numId="18">
    <w:abstractNumId w:val="0"/>
  </w:num>
  <w:num w:numId="19">
    <w:abstractNumId w:val="21"/>
  </w:num>
  <w:num w:numId="20">
    <w:abstractNumId w:val="33"/>
  </w:num>
  <w:num w:numId="21">
    <w:abstractNumId w:val="34"/>
  </w:num>
  <w:num w:numId="22">
    <w:abstractNumId w:val="6"/>
  </w:num>
  <w:num w:numId="23">
    <w:abstractNumId w:val="16"/>
  </w:num>
  <w:num w:numId="24">
    <w:abstractNumId w:val="12"/>
  </w:num>
  <w:num w:numId="25">
    <w:abstractNumId w:val="35"/>
  </w:num>
  <w:num w:numId="26">
    <w:abstractNumId w:val="11"/>
  </w:num>
  <w:num w:numId="27">
    <w:abstractNumId w:val="8"/>
  </w:num>
  <w:num w:numId="28">
    <w:abstractNumId w:val="36"/>
  </w:num>
  <w:num w:numId="29">
    <w:abstractNumId w:val="23"/>
  </w:num>
  <w:num w:numId="30">
    <w:abstractNumId w:val="37"/>
  </w:num>
  <w:num w:numId="31">
    <w:abstractNumId w:val="15"/>
  </w:num>
  <w:num w:numId="32">
    <w:abstractNumId w:val="24"/>
  </w:num>
  <w:num w:numId="33">
    <w:abstractNumId w:val="31"/>
  </w:num>
  <w:num w:numId="34">
    <w:abstractNumId w:val="1"/>
  </w:num>
  <w:num w:numId="35">
    <w:abstractNumId w:val="27"/>
  </w:num>
  <w:num w:numId="36">
    <w:abstractNumId w:val="26"/>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A8"/>
    <w:rsid w:val="00003959"/>
    <w:rsid w:val="00007B2D"/>
    <w:rsid w:val="00034CB1"/>
    <w:rsid w:val="00043F2A"/>
    <w:rsid w:val="00047A63"/>
    <w:rsid w:val="00052AF7"/>
    <w:rsid w:val="0006394A"/>
    <w:rsid w:val="00073CB3"/>
    <w:rsid w:val="00075C40"/>
    <w:rsid w:val="00076663"/>
    <w:rsid w:val="00077BFC"/>
    <w:rsid w:val="00094EB2"/>
    <w:rsid w:val="000B1D9C"/>
    <w:rsid w:val="000C7476"/>
    <w:rsid w:val="000E4DAC"/>
    <w:rsid w:val="001023C2"/>
    <w:rsid w:val="001116F8"/>
    <w:rsid w:val="001167A3"/>
    <w:rsid w:val="00117269"/>
    <w:rsid w:val="00133CE0"/>
    <w:rsid w:val="00135C99"/>
    <w:rsid w:val="00144759"/>
    <w:rsid w:val="00152507"/>
    <w:rsid w:val="001621ED"/>
    <w:rsid w:val="001631F0"/>
    <w:rsid w:val="00180EE0"/>
    <w:rsid w:val="0019149A"/>
    <w:rsid w:val="001934D5"/>
    <w:rsid w:val="001B04FC"/>
    <w:rsid w:val="001B7A97"/>
    <w:rsid w:val="001C0259"/>
    <w:rsid w:val="001C46E7"/>
    <w:rsid w:val="001D59F5"/>
    <w:rsid w:val="001F1A22"/>
    <w:rsid w:val="00222721"/>
    <w:rsid w:val="0023155D"/>
    <w:rsid w:val="002470D8"/>
    <w:rsid w:val="002617F1"/>
    <w:rsid w:val="0026311E"/>
    <w:rsid w:val="0026572D"/>
    <w:rsid w:val="002725BF"/>
    <w:rsid w:val="00280AB8"/>
    <w:rsid w:val="00283B2B"/>
    <w:rsid w:val="0028765E"/>
    <w:rsid w:val="002A1C15"/>
    <w:rsid w:val="002B0F55"/>
    <w:rsid w:val="002B516C"/>
    <w:rsid w:val="002C37E4"/>
    <w:rsid w:val="002C7BC7"/>
    <w:rsid w:val="0030738E"/>
    <w:rsid w:val="003155F3"/>
    <w:rsid w:val="00330187"/>
    <w:rsid w:val="00332A16"/>
    <w:rsid w:val="003407EE"/>
    <w:rsid w:val="003631DD"/>
    <w:rsid w:val="00374E02"/>
    <w:rsid w:val="00377D21"/>
    <w:rsid w:val="00386449"/>
    <w:rsid w:val="0039716C"/>
    <w:rsid w:val="003B22A3"/>
    <w:rsid w:val="003B2E3C"/>
    <w:rsid w:val="003B3CC2"/>
    <w:rsid w:val="003C046A"/>
    <w:rsid w:val="003C1D28"/>
    <w:rsid w:val="00410F8F"/>
    <w:rsid w:val="0043087C"/>
    <w:rsid w:val="00435939"/>
    <w:rsid w:val="00440AFD"/>
    <w:rsid w:val="00444800"/>
    <w:rsid w:val="0045646A"/>
    <w:rsid w:val="00487465"/>
    <w:rsid w:val="004A3D15"/>
    <w:rsid w:val="004A4062"/>
    <w:rsid w:val="004B719F"/>
    <w:rsid w:val="004C6999"/>
    <w:rsid w:val="004D6055"/>
    <w:rsid w:val="004E004C"/>
    <w:rsid w:val="004E17FD"/>
    <w:rsid w:val="004E7DF7"/>
    <w:rsid w:val="004F1939"/>
    <w:rsid w:val="004F1DCD"/>
    <w:rsid w:val="004F520D"/>
    <w:rsid w:val="00500278"/>
    <w:rsid w:val="0052358F"/>
    <w:rsid w:val="00526A22"/>
    <w:rsid w:val="00533FFF"/>
    <w:rsid w:val="00537EAB"/>
    <w:rsid w:val="00553B35"/>
    <w:rsid w:val="005548D6"/>
    <w:rsid w:val="00554AC6"/>
    <w:rsid w:val="0056246B"/>
    <w:rsid w:val="00573F50"/>
    <w:rsid w:val="00580CA4"/>
    <w:rsid w:val="00590BAF"/>
    <w:rsid w:val="00596255"/>
    <w:rsid w:val="005D09F9"/>
    <w:rsid w:val="005E701F"/>
    <w:rsid w:val="005F2546"/>
    <w:rsid w:val="006025D5"/>
    <w:rsid w:val="00607B7A"/>
    <w:rsid w:val="00626167"/>
    <w:rsid w:val="006352D1"/>
    <w:rsid w:val="00645A80"/>
    <w:rsid w:val="006521D8"/>
    <w:rsid w:val="00661A1C"/>
    <w:rsid w:val="006635C3"/>
    <w:rsid w:val="00670335"/>
    <w:rsid w:val="00684189"/>
    <w:rsid w:val="0069491B"/>
    <w:rsid w:val="006967E4"/>
    <w:rsid w:val="006A0D38"/>
    <w:rsid w:val="006B1461"/>
    <w:rsid w:val="006C7E6E"/>
    <w:rsid w:val="006E2798"/>
    <w:rsid w:val="007012BF"/>
    <w:rsid w:val="00715A72"/>
    <w:rsid w:val="007251B7"/>
    <w:rsid w:val="00730A00"/>
    <w:rsid w:val="007345DF"/>
    <w:rsid w:val="00744EF5"/>
    <w:rsid w:val="00767DEC"/>
    <w:rsid w:val="007730A2"/>
    <w:rsid w:val="00777912"/>
    <w:rsid w:val="00782766"/>
    <w:rsid w:val="00783627"/>
    <w:rsid w:val="00787A91"/>
    <w:rsid w:val="007945D0"/>
    <w:rsid w:val="007B0AED"/>
    <w:rsid w:val="007C0965"/>
    <w:rsid w:val="007C3B1B"/>
    <w:rsid w:val="007D1650"/>
    <w:rsid w:val="007F10F2"/>
    <w:rsid w:val="00804869"/>
    <w:rsid w:val="0082591B"/>
    <w:rsid w:val="00825E4B"/>
    <w:rsid w:val="008305A4"/>
    <w:rsid w:val="008440E5"/>
    <w:rsid w:val="00845375"/>
    <w:rsid w:val="008728A3"/>
    <w:rsid w:val="008749BF"/>
    <w:rsid w:val="008813E9"/>
    <w:rsid w:val="00881F69"/>
    <w:rsid w:val="00884906"/>
    <w:rsid w:val="00887603"/>
    <w:rsid w:val="0089731B"/>
    <w:rsid w:val="008B127E"/>
    <w:rsid w:val="008C20E4"/>
    <w:rsid w:val="008C454D"/>
    <w:rsid w:val="008D31DF"/>
    <w:rsid w:val="009226F6"/>
    <w:rsid w:val="00935888"/>
    <w:rsid w:val="00951F8A"/>
    <w:rsid w:val="0095264C"/>
    <w:rsid w:val="00953687"/>
    <w:rsid w:val="009559CA"/>
    <w:rsid w:val="00963FDF"/>
    <w:rsid w:val="00966AB2"/>
    <w:rsid w:val="0099106F"/>
    <w:rsid w:val="009A5CE1"/>
    <w:rsid w:val="009C0DA8"/>
    <w:rsid w:val="009C3737"/>
    <w:rsid w:val="009C7CFE"/>
    <w:rsid w:val="009D3E9F"/>
    <w:rsid w:val="009D4591"/>
    <w:rsid w:val="009F7DB8"/>
    <w:rsid w:val="00A22C0E"/>
    <w:rsid w:val="00A400A9"/>
    <w:rsid w:val="00A40A8E"/>
    <w:rsid w:val="00A437F7"/>
    <w:rsid w:val="00A43A8F"/>
    <w:rsid w:val="00A453BE"/>
    <w:rsid w:val="00A45C14"/>
    <w:rsid w:val="00A604AB"/>
    <w:rsid w:val="00A825AC"/>
    <w:rsid w:val="00A90E4A"/>
    <w:rsid w:val="00AA0579"/>
    <w:rsid w:val="00AB0679"/>
    <w:rsid w:val="00AB100F"/>
    <w:rsid w:val="00AC05F4"/>
    <w:rsid w:val="00AD1B78"/>
    <w:rsid w:val="00AD54B7"/>
    <w:rsid w:val="00AE5E3F"/>
    <w:rsid w:val="00AE7FE6"/>
    <w:rsid w:val="00B05E8B"/>
    <w:rsid w:val="00B11653"/>
    <w:rsid w:val="00B23281"/>
    <w:rsid w:val="00B30974"/>
    <w:rsid w:val="00B40ACB"/>
    <w:rsid w:val="00B436E5"/>
    <w:rsid w:val="00B43BBB"/>
    <w:rsid w:val="00B54269"/>
    <w:rsid w:val="00B91E75"/>
    <w:rsid w:val="00BB521D"/>
    <w:rsid w:val="00BB7A9A"/>
    <w:rsid w:val="00BC0C8B"/>
    <w:rsid w:val="00BF3EEA"/>
    <w:rsid w:val="00BF4E34"/>
    <w:rsid w:val="00C07DF5"/>
    <w:rsid w:val="00C13852"/>
    <w:rsid w:val="00C15488"/>
    <w:rsid w:val="00C1727E"/>
    <w:rsid w:val="00C27395"/>
    <w:rsid w:val="00C343F1"/>
    <w:rsid w:val="00C46C5A"/>
    <w:rsid w:val="00C517B3"/>
    <w:rsid w:val="00C553E7"/>
    <w:rsid w:val="00C72C27"/>
    <w:rsid w:val="00C74C5A"/>
    <w:rsid w:val="00C80708"/>
    <w:rsid w:val="00C8460F"/>
    <w:rsid w:val="00C84EDB"/>
    <w:rsid w:val="00CB610B"/>
    <w:rsid w:val="00CB75DA"/>
    <w:rsid w:val="00CB785A"/>
    <w:rsid w:val="00CC3004"/>
    <w:rsid w:val="00CC7C8A"/>
    <w:rsid w:val="00CE5199"/>
    <w:rsid w:val="00CE7C2B"/>
    <w:rsid w:val="00CF1C5F"/>
    <w:rsid w:val="00CF4605"/>
    <w:rsid w:val="00CF4D22"/>
    <w:rsid w:val="00D02F3F"/>
    <w:rsid w:val="00D1411F"/>
    <w:rsid w:val="00D14A59"/>
    <w:rsid w:val="00D15294"/>
    <w:rsid w:val="00D36BF5"/>
    <w:rsid w:val="00D44653"/>
    <w:rsid w:val="00D44F04"/>
    <w:rsid w:val="00D5188E"/>
    <w:rsid w:val="00D641A4"/>
    <w:rsid w:val="00D64B3C"/>
    <w:rsid w:val="00D66B72"/>
    <w:rsid w:val="00D67A4C"/>
    <w:rsid w:val="00D76D30"/>
    <w:rsid w:val="00D861DA"/>
    <w:rsid w:val="00DC4840"/>
    <w:rsid w:val="00DC5FF5"/>
    <w:rsid w:val="00DD124F"/>
    <w:rsid w:val="00DD1454"/>
    <w:rsid w:val="00DF1A6C"/>
    <w:rsid w:val="00DF7AD5"/>
    <w:rsid w:val="00E14728"/>
    <w:rsid w:val="00E16160"/>
    <w:rsid w:val="00E305C5"/>
    <w:rsid w:val="00E32863"/>
    <w:rsid w:val="00E329F1"/>
    <w:rsid w:val="00E3515D"/>
    <w:rsid w:val="00E475DF"/>
    <w:rsid w:val="00E513EF"/>
    <w:rsid w:val="00E51497"/>
    <w:rsid w:val="00E51C7F"/>
    <w:rsid w:val="00E53AA4"/>
    <w:rsid w:val="00E54FA3"/>
    <w:rsid w:val="00E55B00"/>
    <w:rsid w:val="00E74E68"/>
    <w:rsid w:val="00EA6CAB"/>
    <w:rsid w:val="00EA7130"/>
    <w:rsid w:val="00ED699C"/>
    <w:rsid w:val="00EE26DE"/>
    <w:rsid w:val="00EF14E4"/>
    <w:rsid w:val="00F0236F"/>
    <w:rsid w:val="00F124AB"/>
    <w:rsid w:val="00F204A8"/>
    <w:rsid w:val="00F3493F"/>
    <w:rsid w:val="00F37ABD"/>
    <w:rsid w:val="00F42B4E"/>
    <w:rsid w:val="00F42D06"/>
    <w:rsid w:val="00F63457"/>
    <w:rsid w:val="00F80187"/>
    <w:rsid w:val="00F86E99"/>
    <w:rsid w:val="00F91B29"/>
    <w:rsid w:val="00F91FB8"/>
    <w:rsid w:val="00F9459D"/>
    <w:rsid w:val="00FB1738"/>
    <w:rsid w:val="00FD18B2"/>
    <w:rsid w:val="00FD532B"/>
    <w:rsid w:val="00FD59AD"/>
    <w:rsid w:val="00FE1006"/>
    <w:rsid w:val="00FF283A"/>
    <w:rsid w:val="00FF605B"/>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maroon"/>
    </o:shapedefaults>
    <o:shapelayout v:ext="edit">
      <o:idmap v:ext="edit" data="1"/>
    </o:shapelayout>
  </w:shapeDefaults>
  <w:decimalSymbol w:val="."/>
  <w:listSeparator w:val=","/>
  <w14:docId w14:val="26080731"/>
  <w15:chartTrackingRefBased/>
  <w15:docId w15:val="{89249C21-F073-42F1-8E35-24BB30AA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A2"/>
    <w:pPr>
      <w:spacing w:after="200" w:line="276" w:lineRule="auto"/>
    </w:pPr>
    <w:rPr>
      <w:sz w:val="22"/>
      <w:szCs w:val="22"/>
    </w:rPr>
  </w:style>
  <w:style w:type="paragraph" w:styleId="Heading1">
    <w:name w:val="heading 1"/>
    <w:basedOn w:val="Normal"/>
    <w:next w:val="Normal"/>
    <w:link w:val="Heading1Char"/>
    <w:uiPriority w:val="9"/>
    <w:qFormat/>
    <w:rsid w:val="000B1D9C"/>
    <w:pPr>
      <w:keepNext/>
      <w:keepLines/>
      <w:spacing w:before="480" w:after="0"/>
      <w:outlineLvl w:val="0"/>
    </w:pPr>
    <w:rPr>
      <w:rFonts w:ascii="Cambria" w:eastAsia="Times New Roman" w:hAnsi="Cambria"/>
      <w:b/>
      <w:bCs/>
      <w:color w:val="365F91"/>
      <w:sz w:val="28"/>
      <w:szCs w:val="28"/>
    </w:rPr>
  </w:style>
  <w:style w:type="paragraph" w:styleId="Heading2">
    <w:name w:val="heading 2"/>
    <w:aliases w:val="White Paper"/>
    <w:basedOn w:val="Normal"/>
    <w:next w:val="Normal"/>
    <w:link w:val="Heading2Char"/>
    <w:uiPriority w:val="9"/>
    <w:unhideWhenUsed/>
    <w:qFormat/>
    <w:rsid w:val="000B1D9C"/>
    <w:pPr>
      <w:keepNext/>
      <w:spacing w:before="60" w:after="60" w:line="240" w:lineRule="auto"/>
      <w:outlineLvl w:val="1"/>
    </w:pPr>
    <w:rPr>
      <w:rFonts w:eastAsia="Times New Roman"/>
      <w:bCs/>
      <w:iCs/>
      <w:sz w:val="24"/>
      <w:szCs w:val="28"/>
    </w:rPr>
  </w:style>
  <w:style w:type="paragraph" w:styleId="Heading4">
    <w:name w:val="heading 4"/>
    <w:basedOn w:val="Normal"/>
    <w:next w:val="Normal"/>
    <w:link w:val="Heading4Char"/>
    <w:uiPriority w:val="9"/>
    <w:unhideWhenUsed/>
    <w:qFormat/>
    <w:rsid w:val="0039716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3C2"/>
    <w:rPr>
      <w:rFonts w:ascii="Tahoma" w:hAnsi="Tahoma" w:cs="Tahoma"/>
      <w:sz w:val="16"/>
      <w:szCs w:val="16"/>
    </w:rPr>
  </w:style>
  <w:style w:type="paragraph" w:styleId="ListParagraph">
    <w:name w:val="List Paragraph"/>
    <w:basedOn w:val="Normal"/>
    <w:uiPriority w:val="34"/>
    <w:qFormat/>
    <w:rsid w:val="00B91E75"/>
    <w:pPr>
      <w:ind w:left="720"/>
      <w:contextualSpacing/>
    </w:pPr>
  </w:style>
  <w:style w:type="character" w:styleId="Hyperlink">
    <w:name w:val="Hyperlink"/>
    <w:uiPriority w:val="99"/>
    <w:unhideWhenUsed/>
    <w:rsid w:val="00B91E75"/>
    <w:rPr>
      <w:color w:val="0000FF"/>
      <w:u w:val="single"/>
    </w:rPr>
  </w:style>
  <w:style w:type="paragraph" w:styleId="Header">
    <w:name w:val="header"/>
    <w:basedOn w:val="Normal"/>
    <w:link w:val="HeaderChar"/>
    <w:uiPriority w:val="99"/>
    <w:unhideWhenUsed/>
    <w:rsid w:val="007251B7"/>
    <w:pPr>
      <w:tabs>
        <w:tab w:val="center" w:pos="4680"/>
        <w:tab w:val="right" w:pos="9360"/>
      </w:tabs>
      <w:spacing w:after="0" w:line="240" w:lineRule="auto"/>
    </w:pPr>
  </w:style>
  <w:style w:type="character" w:customStyle="1" w:styleId="HeaderChar">
    <w:name w:val="Header Char"/>
    <w:link w:val="Header"/>
    <w:uiPriority w:val="99"/>
    <w:rsid w:val="007251B7"/>
    <w:rPr>
      <w:sz w:val="22"/>
      <w:szCs w:val="22"/>
    </w:rPr>
  </w:style>
  <w:style w:type="paragraph" w:styleId="Footer">
    <w:name w:val="footer"/>
    <w:basedOn w:val="Normal"/>
    <w:link w:val="FooterChar"/>
    <w:uiPriority w:val="99"/>
    <w:unhideWhenUsed/>
    <w:rsid w:val="007251B7"/>
    <w:pPr>
      <w:tabs>
        <w:tab w:val="center" w:pos="4680"/>
        <w:tab w:val="right" w:pos="9360"/>
      </w:tabs>
      <w:spacing w:after="0" w:line="240" w:lineRule="auto"/>
    </w:pPr>
  </w:style>
  <w:style w:type="character" w:customStyle="1" w:styleId="FooterChar">
    <w:name w:val="Footer Char"/>
    <w:link w:val="Footer"/>
    <w:uiPriority w:val="99"/>
    <w:rsid w:val="007251B7"/>
    <w:rPr>
      <w:sz w:val="22"/>
      <w:szCs w:val="22"/>
    </w:rPr>
  </w:style>
  <w:style w:type="table" w:styleId="TableGrid">
    <w:name w:val="Table Grid"/>
    <w:basedOn w:val="TableNormal"/>
    <w:uiPriority w:val="59"/>
    <w:rsid w:val="0064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49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B1D9C"/>
    <w:rPr>
      <w:sz w:val="22"/>
      <w:szCs w:val="22"/>
    </w:rPr>
  </w:style>
  <w:style w:type="paragraph" w:customStyle="1" w:styleId="WhitePaper1">
    <w:name w:val="White Paper1"/>
    <w:basedOn w:val="Heading1"/>
    <w:link w:val="WhitePaper1Char"/>
    <w:qFormat/>
    <w:rsid w:val="000B1D9C"/>
    <w:pPr>
      <w:keepLines w:val="0"/>
      <w:spacing w:before="0" w:after="200" w:line="240" w:lineRule="auto"/>
    </w:pPr>
    <w:rPr>
      <w:rFonts w:ascii="Calibri" w:hAnsi="Calibri"/>
      <w:b w:val="0"/>
      <w:color w:val="auto"/>
      <w:kern w:val="32"/>
      <w:sz w:val="24"/>
      <w:szCs w:val="32"/>
    </w:rPr>
  </w:style>
  <w:style w:type="character" w:customStyle="1" w:styleId="WhitePaper1Char">
    <w:name w:val="White Paper1 Char"/>
    <w:link w:val="WhitePaper1"/>
    <w:rsid w:val="000B1D9C"/>
    <w:rPr>
      <w:rFonts w:eastAsia="Times New Roman"/>
      <w:bCs/>
      <w:kern w:val="32"/>
      <w:sz w:val="24"/>
      <w:szCs w:val="32"/>
    </w:rPr>
  </w:style>
  <w:style w:type="character" w:customStyle="1" w:styleId="Heading1Char">
    <w:name w:val="Heading 1 Char"/>
    <w:link w:val="Heading1"/>
    <w:uiPriority w:val="9"/>
    <w:rsid w:val="000B1D9C"/>
    <w:rPr>
      <w:rFonts w:ascii="Cambria" w:eastAsia="Times New Roman" w:hAnsi="Cambria" w:cs="Times New Roman"/>
      <w:b/>
      <w:bCs/>
      <w:color w:val="365F91"/>
      <w:sz w:val="28"/>
      <w:szCs w:val="28"/>
    </w:rPr>
  </w:style>
  <w:style w:type="character" w:customStyle="1" w:styleId="Heading2Char">
    <w:name w:val="Heading 2 Char"/>
    <w:aliases w:val="White Paper Char"/>
    <w:link w:val="Heading2"/>
    <w:uiPriority w:val="9"/>
    <w:rsid w:val="000B1D9C"/>
    <w:rPr>
      <w:rFonts w:eastAsia="Times New Roman"/>
      <w:bCs/>
      <w:iCs/>
      <w:sz w:val="24"/>
      <w:szCs w:val="28"/>
    </w:rPr>
  </w:style>
  <w:style w:type="paragraph" w:customStyle="1" w:styleId="Style5">
    <w:name w:val="Style5"/>
    <w:basedOn w:val="Normal"/>
    <w:link w:val="Style5Char"/>
    <w:qFormat/>
    <w:rsid w:val="000B1D9C"/>
    <w:pPr>
      <w:keepNext/>
      <w:spacing w:after="0" w:line="240" w:lineRule="auto"/>
      <w:contextualSpacing/>
      <w:jc w:val="both"/>
      <w:outlineLvl w:val="0"/>
    </w:pPr>
    <w:rPr>
      <w:rFonts w:eastAsia="Times New Roman"/>
      <w:b/>
      <w:bCs/>
      <w:noProof/>
      <w:color w:val="870718"/>
      <w:kern w:val="32"/>
      <w:sz w:val="24"/>
      <w:szCs w:val="24"/>
    </w:rPr>
  </w:style>
  <w:style w:type="character" w:customStyle="1" w:styleId="Style5Char">
    <w:name w:val="Style5 Char"/>
    <w:link w:val="Style5"/>
    <w:rsid w:val="000B1D9C"/>
    <w:rPr>
      <w:rFonts w:ascii="Calibri" w:eastAsia="Times New Roman" w:hAnsi="Calibri"/>
      <w:b/>
      <w:bCs/>
      <w:noProof/>
      <w:color w:val="870718"/>
      <w:kern w:val="32"/>
      <w:sz w:val="24"/>
      <w:szCs w:val="24"/>
    </w:rPr>
  </w:style>
  <w:style w:type="paragraph" w:customStyle="1" w:styleId="Style1">
    <w:name w:val="Style1"/>
    <w:basedOn w:val="WhitePaper1"/>
    <w:link w:val="Style1Char"/>
    <w:qFormat/>
    <w:rsid w:val="000B1D9C"/>
    <w:pPr>
      <w:numPr>
        <w:numId w:val="9"/>
      </w:numPr>
      <w:spacing w:after="0"/>
    </w:pPr>
  </w:style>
  <w:style w:type="character" w:customStyle="1" w:styleId="Style1Char">
    <w:name w:val="Style1 Char"/>
    <w:basedOn w:val="WhitePaper1Char"/>
    <w:link w:val="Style1"/>
    <w:rsid w:val="000B1D9C"/>
    <w:rPr>
      <w:rFonts w:eastAsia="Times New Roman"/>
      <w:bCs/>
      <w:kern w:val="32"/>
      <w:sz w:val="24"/>
      <w:szCs w:val="32"/>
    </w:rPr>
  </w:style>
  <w:style w:type="paragraph" w:customStyle="1" w:styleId="Style4">
    <w:name w:val="Style4"/>
    <w:basedOn w:val="Normal"/>
    <w:link w:val="Style4Char"/>
    <w:qFormat/>
    <w:rsid w:val="008440E5"/>
    <w:pPr>
      <w:keepNext/>
      <w:spacing w:after="0" w:line="240" w:lineRule="auto"/>
      <w:ind w:left="288" w:hanging="288"/>
      <w:contextualSpacing/>
      <w:jc w:val="both"/>
      <w:outlineLvl w:val="0"/>
    </w:pPr>
    <w:rPr>
      <w:rFonts w:eastAsia="Times New Roman"/>
      <w:b/>
      <w:bCs/>
      <w:noProof/>
      <w:color w:val="870718"/>
      <w:kern w:val="32"/>
      <w:sz w:val="24"/>
      <w:szCs w:val="24"/>
    </w:rPr>
  </w:style>
  <w:style w:type="character" w:customStyle="1" w:styleId="Style4Char">
    <w:name w:val="Style4 Char"/>
    <w:link w:val="Style4"/>
    <w:rsid w:val="008440E5"/>
    <w:rPr>
      <w:rFonts w:ascii="Calibri" w:eastAsia="Times New Roman" w:hAnsi="Calibri"/>
      <w:b/>
      <w:bCs/>
      <w:noProof/>
      <w:color w:val="870718"/>
      <w:kern w:val="32"/>
      <w:sz w:val="24"/>
      <w:szCs w:val="24"/>
    </w:rPr>
  </w:style>
  <w:style w:type="paragraph" w:customStyle="1" w:styleId="Title1">
    <w:name w:val="Title1"/>
    <w:basedOn w:val="Normal"/>
    <w:rsid w:val="0099106F"/>
    <w:pPr>
      <w:spacing w:before="100" w:beforeAutospacing="1" w:after="100" w:afterAutospacing="1" w:line="240" w:lineRule="auto"/>
    </w:pPr>
    <w:rPr>
      <w:rFonts w:ascii="Arial" w:eastAsia="Times New Roman" w:hAnsi="Arial" w:cs="Arial"/>
      <w:b/>
      <w:bCs/>
      <w:color w:val="990033"/>
      <w:sz w:val="34"/>
      <w:szCs w:val="34"/>
    </w:rPr>
  </w:style>
  <w:style w:type="character" w:styleId="Strong">
    <w:name w:val="Strong"/>
    <w:uiPriority w:val="22"/>
    <w:qFormat/>
    <w:rsid w:val="008728A3"/>
    <w:rPr>
      <w:b/>
      <w:bCs/>
    </w:rPr>
  </w:style>
  <w:style w:type="character" w:styleId="CommentReference">
    <w:name w:val="annotation reference"/>
    <w:uiPriority w:val="99"/>
    <w:semiHidden/>
    <w:unhideWhenUsed/>
    <w:rsid w:val="00E305C5"/>
    <w:rPr>
      <w:sz w:val="16"/>
      <w:szCs w:val="16"/>
    </w:rPr>
  </w:style>
  <w:style w:type="paragraph" w:styleId="CommentText">
    <w:name w:val="annotation text"/>
    <w:basedOn w:val="Normal"/>
    <w:link w:val="CommentTextChar"/>
    <w:uiPriority w:val="99"/>
    <w:semiHidden/>
    <w:unhideWhenUsed/>
    <w:rsid w:val="00E305C5"/>
    <w:rPr>
      <w:sz w:val="20"/>
      <w:szCs w:val="20"/>
    </w:rPr>
  </w:style>
  <w:style w:type="character" w:customStyle="1" w:styleId="CommentTextChar">
    <w:name w:val="Comment Text Char"/>
    <w:basedOn w:val="DefaultParagraphFont"/>
    <w:link w:val="CommentText"/>
    <w:uiPriority w:val="99"/>
    <w:semiHidden/>
    <w:rsid w:val="00E305C5"/>
  </w:style>
  <w:style w:type="paragraph" w:styleId="CommentSubject">
    <w:name w:val="annotation subject"/>
    <w:basedOn w:val="CommentText"/>
    <w:next w:val="CommentText"/>
    <w:link w:val="CommentSubjectChar"/>
    <w:uiPriority w:val="99"/>
    <w:semiHidden/>
    <w:unhideWhenUsed/>
    <w:rsid w:val="00E305C5"/>
    <w:rPr>
      <w:b/>
      <w:bCs/>
    </w:rPr>
  </w:style>
  <w:style w:type="character" w:customStyle="1" w:styleId="CommentSubjectChar">
    <w:name w:val="Comment Subject Char"/>
    <w:link w:val="CommentSubject"/>
    <w:uiPriority w:val="99"/>
    <w:semiHidden/>
    <w:rsid w:val="00E305C5"/>
    <w:rPr>
      <w:b/>
      <w:bCs/>
    </w:rPr>
  </w:style>
  <w:style w:type="character" w:customStyle="1" w:styleId="Heading4Char">
    <w:name w:val="Heading 4 Char"/>
    <w:link w:val="Heading4"/>
    <w:uiPriority w:val="9"/>
    <w:rsid w:val="0039716C"/>
    <w:rPr>
      <w:rFonts w:ascii="Calibri" w:eastAsia="Times New Roman" w:hAnsi="Calibri" w:cs="Times New Roman"/>
      <w:b/>
      <w:bCs/>
      <w:sz w:val="28"/>
      <w:szCs w:val="28"/>
    </w:rPr>
  </w:style>
  <w:style w:type="character" w:styleId="FollowedHyperlink">
    <w:name w:val="FollowedHyperlink"/>
    <w:uiPriority w:val="99"/>
    <w:semiHidden/>
    <w:unhideWhenUsed/>
    <w:rsid w:val="00F91F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5047">
      <w:bodyDiv w:val="1"/>
      <w:marLeft w:val="0"/>
      <w:marRight w:val="0"/>
      <w:marTop w:val="0"/>
      <w:marBottom w:val="0"/>
      <w:divBdr>
        <w:top w:val="none" w:sz="0" w:space="0" w:color="auto"/>
        <w:left w:val="none" w:sz="0" w:space="0" w:color="auto"/>
        <w:bottom w:val="none" w:sz="0" w:space="0" w:color="auto"/>
        <w:right w:val="none" w:sz="0" w:space="0" w:color="auto"/>
      </w:divBdr>
    </w:div>
    <w:div w:id="1018971885">
      <w:bodyDiv w:val="1"/>
      <w:marLeft w:val="0"/>
      <w:marRight w:val="0"/>
      <w:marTop w:val="0"/>
      <w:marBottom w:val="0"/>
      <w:divBdr>
        <w:top w:val="none" w:sz="0" w:space="0" w:color="auto"/>
        <w:left w:val="none" w:sz="0" w:space="0" w:color="auto"/>
        <w:bottom w:val="none" w:sz="0" w:space="0" w:color="auto"/>
        <w:right w:val="none" w:sz="0" w:space="0" w:color="auto"/>
      </w:divBdr>
      <w:divsChild>
        <w:div w:id="215438746">
          <w:marLeft w:val="0"/>
          <w:marRight w:val="0"/>
          <w:marTop w:val="0"/>
          <w:marBottom w:val="0"/>
          <w:divBdr>
            <w:top w:val="none" w:sz="0" w:space="0" w:color="auto"/>
            <w:left w:val="none" w:sz="0" w:space="0" w:color="auto"/>
            <w:bottom w:val="none" w:sz="0" w:space="0" w:color="auto"/>
            <w:right w:val="none" w:sz="0" w:space="0" w:color="auto"/>
          </w:divBdr>
        </w:div>
        <w:div w:id="246812568">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 w:id="559749010">
          <w:marLeft w:val="0"/>
          <w:marRight w:val="0"/>
          <w:marTop w:val="0"/>
          <w:marBottom w:val="0"/>
          <w:divBdr>
            <w:top w:val="none" w:sz="0" w:space="0" w:color="auto"/>
            <w:left w:val="none" w:sz="0" w:space="0" w:color="auto"/>
            <w:bottom w:val="none" w:sz="0" w:space="0" w:color="auto"/>
            <w:right w:val="none" w:sz="0" w:space="0" w:color="auto"/>
          </w:divBdr>
        </w:div>
        <w:div w:id="593787634">
          <w:marLeft w:val="0"/>
          <w:marRight w:val="0"/>
          <w:marTop w:val="0"/>
          <w:marBottom w:val="0"/>
          <w:divBdr>
            <w:top w:val="none" w:sz="0" w:space="0" w:color="auto"/>
            <w:left w:val="none" w:sz="0" w:space="0" w:color="auto"/>
            <w:bottom w:val="none" w:sz="0" w:space="0" w:color="auto"/>
            <w:right w:val="none" w:sz="0" w:space="0" w:color="auto"/>
          </w:divBdr>
        </w:div>
        <w:div w:id="661347413">
          <w:marLeft w:val="0"/>
          <w:marRight w:val="0"/>
          <w:marTop w:val="0"/>
          <w:marBottom w:val="0"/>
          <w:divBdr>
            <w:top w:val="none" w:sz="0" w:space="0" w:color="auto"/>
            <w:left w:val="none" w:sz="0" w:space="0" w:color="auto"/>
            <w:bottom w:val="none" w:sz="0" w:space="0" w:color="auto"/>
            <w:right w:val="none" w:sz="0" w:space="0" w:color="auto"/>
          </w:divBdr>
        </w:div>
        <w:div w:id="1062295583">
          <w:marLeft w:val="0"/>
          <w:marRight w:val="0"/>
          <w:marTop w:val="0"/>
          <w:marBottom w:val="0"/>
          <w:divBdr>
            <w:top w:val="none" w:sz="0" w:space="0" w:color="auto"/>
            <w:left w:val="none" w:sz="0" w:space="0" w:color="auto"/>
            <w:bottom w:val="none" w:sz="0" w:space="0" w:color="auto"/>
            <w:right w:val="none" w:sz="0" w:space="0" w:color="auto"/>
          </w:divBdr>
        </w:div>
        <w:div w:id="1147355335">
          <w:marLeft w:val="0"/>
          <w:marRight w:val="0"/>
          <w:marTop w:val="0"/>
          <w:marBottom w:val="0"/>
          <w:divBdr>
            <w:top w:val="none" w:sz="0" w:space="0" w:color="auto"/>
            <w:left w:val="none" w:sz="0" w:space="0" w:color="auto"/>
            <w:bottom w:val="none" w:sz="0" w:space="0" w:color="auto"/>
            <w:right w:val="none" w:sz="0" w:space="0" w:color="auto"/>
          </w:divBdr>
        </w:div>
        <w:div w:id="1224683630">
          <w:marLeft w:val="0"/>
          <w:marRight w:val="0"/>
          <w:marTop w:val="0"/>
          <w:marBottom w:val="0"/>
          <w:divBdr>
            <w:top w:val="none" w:sz="0" w:space="0" w:color="auto"/>
            <w:left w:val="none" w:sz="0" w:space="0" w:color="auto"/>
            <w:bottom w:val="none" w:sz="0" w:space="0" w:color="auto"/>
            <w:right w:val="none" w:sz="0" w:space="0" w:color="auto"/>
          </w:divBdr>
        </w:div>
        <w:div w:id="1238318415">
          <w:marLeft w:val="0"/>
          <w:marRight w:val="0"/>
          <w:marTop w:val="0"/>
          <w:marBottom w:val="0"/>
          <w:divBdr>
            <w:top w:val="none" w:sz="0" w:space="0" w:color="auto"/>
            <w:left w:val="none" w:sz="0" w:space="0" w:color="auto"/>
            <w:bottom w:val="none" w:sz="0" w:space="0" w:color="auto"/>
            <w:right w:val="none" w:sz="0" w:space="0" w:color="auto"/>
          </w:divBdr>
        </w:div>
        <w:div w:id="1348404990">
          <w:marLeft w:val="0"/>
          <w:marRight w:val="0"/>
          <w:marTop w:val="0"/>
          <w:marBottom w:val="0"/>
          <w:divBdr>
            <w:top w:val="none" w:sz="0" w:space="0" w:color="auto"/>
            <w:left w:val="none" w:sz="0" w:space="0" w:color="auto"/>
            <w:bottom w:val="none" w:sz="0" w:space="0" w:color="auto"/>
            <w:right w:val="none" w:sz="0" w:space="0" w:color="auto"/>
          </w:divBdr>
        </w:div>
        <w:div w:id="1409569549">
          <w:marLeft w:val="0"/>
          <w:marRight w:val="0"/>
          <w:marTop w:val="0"/>
          <w:marBottom w:val="0"/>
          <w:divBdr>
            <w:top w:val="none" w:sz="0" w:space="0" w:color="auto"/>
            <w:left w:val="none" w:sz="0" w:space="0" w:color="auto"/>
            <w:bottom w:val="none" w:sz="0" w:space="0" w:color="auto"/>
            <w:right w:val="none" w:sz="0" w:space="0" w:color="auto"/>
          </w:divBdr>
        </w:div>
      </w:divsChild>
    </w:div>
    <w:div w:id="1102453097">
      <w:bodyDiv w:val="1"/>
      <w:marLeft w:val="0"/>
      <w:marRight w:val="0"/>
      <w:marTop w:val="0"/>
      <w:marBottom w:val="0"/>
      <w:divBdr>
        <w:top w:val="none" w:sz="0" w:space="0" w:color="auto"/>
        <w:left w:val="none" w:sz="0" w:space="0" w:color="auto"/>
        <w:bottom w:val="none" w:sz="0" w:space="0" w:color="auto"/>
        <w:right w:val="none" w:sz="0" w:space="0" w:color="auto"/>
      </w:divBdr>
    </w:div>
    <w:div w:id="1541824706">
      <w:bodyDiv w:val="1"/>
      <w:marLeft w:val="0"/>
      <w:marRight w:val="0"/>
      <w:marTop w:val="0"/>
      <w:marBottom w:val="0"/>
      <w:divBdr>
        <w:top w:val="none" w:sz="0" w:space="0" w:color="auto"/>
        <w:left w:val="none" w:sz="0" w:space="0" w:color="auto"/>
        <w:bottom w:val="none" w:sz="0" w:space="0" w:color="auto"/>
        <w:right w:val="none" w:sz="0" w:space="0" w:color="auto"/>
      </w:divBdr>
      <w:divsChild>
        <w:div w:id="495612898">
          <w:marLeft w:val="0"/>
          <w:marRight w:val="0"/>
          <w:marTop w:val="0"/>
          <w:marBottom w:val="0"/>
          <w:divBdr>
            <w:top w:val="none" w:sz="0" w:space="0" w:color="auto"/>
            <w:left w:val="none" w:sz="0" w:space="0" w:color="auto"/>
            <w:bottom w:val="none" w:sz="0" w:space="0" w:color="auto"/>
            <w:right w:val="none" w:sz="0" w:space="0" w:color="auto"/>
          </w:divBdr>
        </w:div>
        <w:div w:id="789593368">
          <w:marLeft w:val="0"/>
          <w:marRight w:val="0"/>
          <w:marTop w:val="0"/>
          <w:marBottom w:val="0"/>
          <w:divBdr>
            <w:top w:val="none" w:sz="0" w:space="0" w:color="auto"/>
            <w:left w:val="none" w:sz="0" w:space="0" w:color="auto"/>
            <w:bottom w:val="none" w:sz="0" w:space="0" w:color="auto"/>
            <w:right w:val="none" w:sz="0" w:space="0" w:color="auto"/>
          </w:divBdr>
        </w:div>
        <w:div w:id="836306312">
          <w:marLeft w:val="0"/>
          <w:marRight w:val="0"/>
          <w:marTop w:val="0"/>
          <w:marBottom w:val="0"/>
          <w:divBdr>
            <w:top w:val="none" w:sz="0" w:space="0" w:color="auto"/>
            <w:left w:val="none" w:sz="0" w:space="0" w:color="auto"/>
            <w:bottom w:val="none" w:sz="0" w:space="0" w:color="auto"/>
            <w:right w:val="none" w:sz="0" w:space="0" w:color="auto"/>
          </w:divBdr>
        </w:div>
        <w:div w:id="934216948">
          <w:marLeft w:val="0"/>
          <w:marRight w:val="0"/>
          <w:marTop w:val="0"/>
          <w:marBottom w:val="0"/>
          <w:divBdr>
            <w:top w:val="none" w:sz="0" w:space="0" w:color="auto"/>
            <w:left w:val="none" w:sz="0" w:space="0" w:color="auto"/>
            <w:bottom w:val="none" w:sz="0" w:space="0" w:color="auto"/>
            <w:right w:val="none" w:sz="0" w:space="0" w:color="auto"/>
          </w:divBdr>
        </w:div>
        <w:div w:id="1253703703">
          <w:marLeft w:val="0"/>
          <w:marRight w:val="0"/>
          <w:marTop w:val="0"/>
          <w:marBottom w:val="0"/>
          <w:divBdr>
            <w:top w:val="none" w:sz="0" w:space="0" w:color="auto"/>
            <w:left w:val="none" w:sz="0" w:space="0" w:color="auto"/>
            <w:bottom w:val="none" w:sz="0" w:space="0" w:color="auto"/>
            <w:right w:val="none" w:sz="0" w:space="0" w:color="auto"/>
          </w:divBdr>
        </w:div>
        <w:div w:id="1524318251">
          <w:marLeft w:val="0"/>
          <w:marRight w:val="0"/>
          <w:marTop w:val="0"/>
          <w:marBottom w:val="0"/>
          <w:divBdr>
            <w:top w:val="none" w:sz="0" w:space="0" w:color="auto"/>
            <w:left w:val="none" w:sz="0" w:space="0" w:color="auto"/>
            <w:bottom w:val="none" w:sz="0" w:space="0" w:color="auto"/>
            <w:right w:val="none" w:sz="0" w:space="0" w:color="auto"/>
          </w:divBdr>
        </w:div>
        <w:div w:id="1992633398">
          <w:marLeft w:val="0"/>
          <w:marRight w:val="0"/>
          <w:marTop w:val="0"/>
          <w:marBottom w:val="0"/>
          <w:divBdr>
            <w:top w:val="none" w:sz="0" w:space="0" w:color="auto"/>
            <w:left w:val="none" w:sz="0" w:space="0" w:color="auto"/>
            <w:bottom w:val="none" w:sz="0" w:space="0" w:color="auto"/>
            <w:right w:val="none" w:sz="0" w:space="0" w:color="auto"/>
          </w:divBdr>
        </w:div>
        <w:div w:id="2010522391">
          <w:marLeft w:val="0"/>
          <w:marRight w:val="0"/>
          <w:marTop w:val="0"/>
          <w:marBottom w:val="0"/>
          <w:divBdr>
            <w:top w:val="none" w:sz="0" w:space="0" w:color="auto"/>
            <w:left w:val="none" w:sz="0" w:space="0" w:color="auto"/>
            <w:bottom w:val="none" w:sz="0" w:space="0" w:color="auto"/>
            <w:right w:val="none" w:sz="0" w:space="0" w:color="auto"/>
          </w:divBdr>
        </w:div>
        <w:div w:id="2110471053">
          <w:marLeft w:val="0"/>
          <w:marRight w:val="0"/>
          <w:marTop w:val="0"/>
          <w:marBottom w:val="0"/>
          <w:divBdr>
            <w:top w:val="none" w:sz="0" w:space="0" w:color="auto"/>
            <w:left w:val="none" w:sz="0" w:space="0" w:color="auto"/>
            <w:bottom w:val="none" w:sz="0" w:space="0" w:color="auto"/>
            <w:right w:val="none" w:sz="0" w:space="0" w:color="auto"/>
          </w:divBdr>
        </w:div>
      </w:divsChild>
    </w:div>
    <w:div w:id="19177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fair_housing_act_overview" TargetMode="External"/><Relationship Id="rId13" Type="http://schemas.openxmlformats.org/officeDocument/2006/relationships/hyperlink" Target="http://www.hollistonfire.com/pdf%20files/NFPA%2072%20-%201999%20Edi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argoylesecurity.com/004/nfpa.72.2002.pdf" TargetMode="External"/><Relationship Id="rId17" Type="http://schemas.openxmlformats.org/officeDocument/2006/relationships/hyperlink" Target="http://www.nwadacenter.org"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gov/regs2010/2010ADAStandards/2010ADAstandards.ht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https://cdn.shopify.com/s/files/1/2534/1274/products/200-0000-2-1_4314a46c-baf2-4c5f-ab40-69ee09c64eb1_x700.jpg?v=15210595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9492</CharactersWithSpaces>
  <SharedDoc>false</SharedDoc>
  <HLinks>
    <vt:vector size="42" baseType="variant">
      <vt:variant>
        <vt:i4>3014775</vt:i4>
      </vt:variant>
      <vt:variant>
        <vt:i4>18</vt:i4>
      </vt:variant>
      <vt:variant>
        <vt:i4>0</vt:i4>
      </vt:variant>
      <vt:variant>
        <vt:i4>5</vt:i4>
      </vt:variant>
      <vt:variant>
        <vt:lpwstr>http://www.nwadacenter.org/</vt:lpwstr>
      </vt:variant>
      <vt:variant>
        <vt:lpwstr/>
      </vt:variant>
      <vt:variant>
        <vt:i4>3014775</vt:i4>
      </vt:variant>
      <vt:variant>
        <vt:i4>12</vt:i4>
      </vt:variant>
      <vt:variant>
        <vt:i4>0</vt:i4>
      </vt:variant>
      <vt:variant>
        <vt:i4>5</vt:i4>
      </vt:variant>
      <vt:variant>
        <vt:lpwstr>http://www.nwadacenter.org/</vt:lpwstr>
      </vt:variant>
      <vt:variant>
        <vt:lpwstr/>
      </vt:variant>
      <vt:variant>
        <vt:i4>851993</vt:i4>
      </vt:variant>
      <vt:variant>
        <vt:i4>9</vt:i4>
      </vt:variant>
      <vt:variant>
        <vt:i4>0</vt:i4>
      </vt:variant>
      <vt:variant>
        <vt:i4>5</vt:i4>
      </vt:variant>
      <vt:variant>
        <vt:lpwstr>http://www.hollistonfire.com/pdf files/NFPA 72 - 1999 Edition.pdf</vt:lpwstr>
      </vt:variant>
      <vt:variant>
        <vt:lpwstr/>
      </vt:variant>
      <vt:variant>
        <vt:i4>5242890</vt:i4>
      </vt:variant>
      <vt:variant>
        <vt:i4>6</vt:i4>
      </vt:variant>
      <vt:variant>
        <vt:i4>0</vt:i4>
      </vt:variant>
      <vt:variant>
        <vt:i4>5</vt:i4>
      </vt:variant>
      <vt:variant>
        <vt:lpwstr>http://www.gargoylesecurity.com/004/nfpa.72.2002.pdf</vt:lpwstr>
      </vt:variant>
      <vt:variant>
        <vt:lpwstr/>
      </vt:variant>
      <vt:variant>
        <vt:i4>7274557</vt:i4>
      </vt:variant>
      <vt:variant>
        <vt:i4>3</vt:i4>
      </vt:variant>
      <vt:variant>
        <vt:i4>0</vt:i4>
      </vt:variant>
      <vt:variant>
        <vt:i4>5</vt:i4>
      </vt:variant>
      <vt:variant>
        <vt:lpwstr>https://www.ada.gov/regs2010/2010ADAStandards/2010ADAstandards.htm</vt:lpwstr>
      </vt:variant>
      <vt:variant>
        <vt:lpwstr>Alarm</vt:lpwstr>
      </vt:variant>
      <vt:variant>
        <vt:i4>327717</vt:i4>
      </vt:variant>
      <vt:variant>
        <vt:i4>0</vt:i4>
      </vt:variant>
      <vt:variant>
        <vt:i4>0</vt:i4>
      </vt:variant>
      <vt:variant>
        <vt:i4>5</vt:i4>
      </vt:variant>
      <vt:variant>
        <vt:lpwstr>https://www.hud.gov/program_offices/fair_housing_equal_opp/fair_housing_act_overview</vt:lpwstr>
      </vt:variant>
      <vt:variant>
        <vt:lpwstr/>
      </vt:variant>
      <vt:variant>
        <vt:i4>3145837</vt:i4>
      </vt:variant>
      <vt:variant>
        <vt:i4>-1</vt:i4>
      </vt:variant>
      <vt:variant>
        <vt:i4>1118</vt:i4>
      </vt:variant>
      <vt:variant>
        <vt:i4>1</vt:i4>
      </vt:variant>
      <vt:variant>
        <vt:lpwstr>https://cdn.shopify.com/s/files/1/2534/1274/products/200-0000-2-1_4314a46c-baf2-4c5f-ab40-69ee09c64eb1_x700.jpg?v=1521059538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Fleming;Miranda N. Levy</dc:creator>
  <cp:keywords/>
  <dc:description/>
  <cp:lastModifiedBy>mtoy</cp:lastModifiedBy>
  <cp:revision>14</cp:revision>
  <cp:lastPrinted>2019-01-15T21:58:00Z</cp:lastPrinted>
  <dcterms:created xsi:type="dcterms:W3CDTF">2019-01-15T00:35:00Z</dcterms:created>
  <dcterms:modified xsi:type="dcterms:W3CDTF">2019-01-15T22:49:00Z</dcterms:modified>
</cp:coreProperties>
</file>